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DC050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A338C0">
        <w:rPr>
          <w:rFonts w:asciiTheme="minorHAnsi" w:hAnsiTheme="minorHAnsi" w:cstheme="minorHAnsi"/>
          <w:b/>
          <w:sz w:val="32"/>
          <w:szCs w:val="32"/>
          <w:u w:val="single"/>
        </w:rPr>
        <w:t xml:space="preserve"> a k mezinárodním sankcím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656611D9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4B7262" w:rsidRPr="004B7262">
        <w:rPr>
          <w:rFonts w:ascii="Calibri" w:hAnsi="Calibri" w:cs="Calibri"/>
          <w:b/>
          <w:sz w:val="22"/>
          <w:szCs w:val="22"/>
        </w:rPr>
        <w:t>„</w:t>
      </w:r>
      <w:r w:rsidR="004B7262" w:rsidRPr="004B7262">
        <w:rPr>
          <w:rFonts w:asciiTheme="minorHAnsi" w:hAnsiTheme="minorHAnsi" w:cstheme="minorHAnsi"/>
          <w:b/>
          <w:sz w:val="22"/>
          <w:szCs w:val="22"/>
        </w:rPr>
        <w:t xml:space="preserve">Rozvoj vodíkové mobility v Ostravě, 1. etapa </w:t>
      </w:r>
      <w:r w:rsidR="00A338C0">
        <w:rPr>
          <w:rFonts w:asciiTheme="minorHAnsi" w:hAnsiTheme="minorHAnsi" w:cstheme="minorHAnsi"/>
          <w:b/>
          <w:sz w:val="22"/>
          <w:szCs w:val="22"/>
        </w:rPr>
        <w:t xml:space="preserve">– opakované vyhlášení </w:t>
      </w:r>
      <w:r w:rsidR="004B7262" w:rsidRPr="004B7262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4B7262" w:rsidRPr="004B7262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4B7262" w:rsidRPr="004B7262">
        <w:rPr>
          <w:rFonts w:ascii="Calibri" w:hAnsi="Calibri" w:cs="Calibri"/>
          <w:b/>
          <w:sz w:val="22"/>
          <w:szCs w:val="22"/>
        </w:rPr>
        <w:t>“</w:t>
      </w:r>
      <w:r w:rsidR="004B7262">
        <w:rPr>
          <w:rFonts w:ascii="Calibri" w:hAnsi="Calibri" w:cs="Calibri"/>
          <w:b/>
          <w:sz w:val="22"/>
          <w:szCs w:val="22"/>
        </w:rPr>
        <w:t xml:space="preserve"> </w:t>
      </w:r>
      <w:r w:rsidR="004B7262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4B7262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4B726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4B7262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4B7262">
        <w:rPr>
          <w:rFonts w:ascii="Calibri" w:hAnsi="Calibri" w:cs="Calibri"/>
          <w:b/>
          <w:bCs/>
          <w:i/>
          <w:sz w:val="22"/>
          <w:szCs w:val="22"/>
          <w:highlight w:val="cyan"/>
        </w:rPr>
        <w:t>stavební část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4B7262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4B7262">
        <w:rPr>
          <w:rFonts w:ascii="Calibri" w:hAnsi="Calibri" w:cs="Calibri"/>
          <w:b/>
          <w:bCs/>
          <w:i/>
          <w:sz w:val="22"/>
          <w:szCs w:val="22"/>
          <w:highlight w:val="cyan"/>
        </w:rPr>
        <w:t>technologická část</w:t>
      </w:r>
      <w:r w:rsidR="004B7262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4B726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="004B7262" w:rsidRPr="00B63BC8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r w:rsidR="004B7262" w:rsidRPr="00D11488" w:rsidDel="005F431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0759" w:rsidRPr="0073129E" w:rsidDel="0036075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C04391A" w14:textId="0D93DB04" w:rsidR="0073129E" w:rsidRPr="0073129E" w:rsidRDefault="0073129E" w:rsidP="00D86C5A">
      <w:pPr>
        <w:ind w:left="2552" w:hanging="2552"/>
        <w:rPr>
          <w:rFonts w:asciiTheme="minorHAnsi" w:hAnsiTheme="minorHAnsi" w:cstheme="minorHAnsi"/>
          <w:b/>
          <w:i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D86C5A">
      <w:pPr>
        <w:pStyle w:val="2nesltext"/>
        <w:spacing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FootnoteReference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73C5E86" w14:textId="1D0AC28B" w:rsidR="00A338C0" w:rsidRDefault="00A338C0" w:rsidP="00507CDB">
      <w:pPr>
        <w:pStyle w:val="2nesltext"/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tímto</w:t>
      </w:r>
    </w:p>
    <w:p w14:paraId="2F76FFD7" w14:textId="5D47F3A2" w:rsidR="00507CDB" w:rsidRPr="00D86C5A" w:rsidRDefault="00507CDB" w:rsidP="00D86C5A">
      <w:pPr>
        <w:pStyle w:val="ListParagraph"/>
        <w:numPr>
          <w:ilvl w:val="0"/>
          <w:numId w:val="19"/>
        </w:numPr>
        <w:ind w:left="284"/>
        <w:jc w:val="both"/>
        <w:rPr>
          <w:rFonts w:asciiTheme="minorHAnsi" w:eastAsia="Arial Unicode MS" w:hAnsiTheme="minorHAnsi" w:cstheme="minorHAnsi"/>
        </w:rPr>
      </w:pPr>
      <w:r w:rsidRPr="00D86C5A">
        <w:rPr>
          <w:rFonts w:asciiTheme="minorHAnsi" w:eastAsia="Arial Unicode MS" w:hAnsiTheme="minorHAnsi" w:cstheme="minorHAnsi"/>
          <w:sz w:val="22"/>
          <w:szCs w:val="22"/>
        </w:rPr>
        <w:t xml:space="preserve">v souladu s </w:t>
      </w:r>
      <w:proofErr w:type="spellStart"/>
      <w:r w:rsidR="00A338C0" w:rsidRPr="00D86C5A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="00A338C0" w:rsidRPr="00D86C5A">
        <w:rPr>
          <w:rFonts w:asciiTheme="minorHAnsi" w:eastAsia="Arial Unicode MS" w:hAnsiTheme="minorHAnsi" w:cstheme="minorHAnsi"/>
          <w:sz w:val="22"/>
          <w:szCs w:val="22"/>
        </w:rPr>
        <w:t>. § 4b zákona č. 159/2006 Sb., o střetu zájmů, ve znění pozdějších předpisů</w:t>
      </w:r>
      <w:r w:rsidR="00A338C0">
        <w:rPr>
          <w:rFonts w:asciiTheme="minorHAnsi" w:eastAsia="Arial Unicode MS" w:hAnsiTheme="minorHAnsi" w:cstheme="minorHAnsi"/>
          <w:sz w:val="22"/>
          <w:szCs w:val="22"/>
        </w:rPr>
        <w:t>,</w:t>
      </w:r>
      <w:r w:rsidR="00A338C0" w:rsidRPr="00D86C5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73129E" w:rsidRPr="00D86C5A">
        <w:rPr>
          <w:rFonts w:asciiTheme="minorHAnsi" w:eastAsia="Arial Unicode MS" w:hAnsiTheme="minorHAnsi" w:cstheme="minorHAnsi"/>
          <w:sz w:val="22"/>
          <w:szCs w:val="22"/>
        </w:rPr>
        <w:t>čestně prohlašuje, že</w:t>
      </w:r>
      <w:r w:rsidR="00A338C0">
        <w:rPr>
          <w:rFonts w:asciiTheme="minorHAnsi" w:eastAsia="Arial Unicode MS" w:hAnsiTheme="minorHAnsi" w:cstheme="minorHAnsi"/>
          <w:sz w:val="22"/>
          <w:szCs w:val="22"/>
        </w:rPr>
        <w:t>:</w:t>
      </w:r>
      <w:r w:rsidR="0073129E" w:rsidRPr="00D86C5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14:paraId="0341A690" w14:textId="40D176EA" w:rsidR="00507CDB" w:rsidRPr="00507CDB" w:rsidRDefault="00A338C0" w:rsidP="00507CDB">
      <w:pPr>
        <w:pStyle w:val="ListParagraph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E7A2F">
        <w:rPr>
          <w:rFonts w:asciiTheme="minorHAnsi" w:eastAsia="Arial Unicode MS" w:hAnsiTheme="minorHAnsi" w:cstheme="minorHAnsi"/>
          <w:sz w:val="22"/>
          <w:szCs w:val="22"/>
        </w:rPr>
        <w:t xml:space="preserve">není </w:t>
      </w:r>
      <w:r w:rsidR="00507CDB"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="00507CDB"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="00507CDB"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1EE2575D" w:rsidR="00507CDB" w:rsidRPr="00D86C5A" w:rsidRDefault="00507CDB" w:rsidP="00507CDB">
      <w:pPr>
        <w:pStyle w:val="ListParagraph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FootnoteReference"/>
          <w:rFonts w:asciiTheme="minorHAnsi" w:hAnsiTheme="minorHAnsi" w:cstheme="minorHAnsi"/>
          <w:sz w:val="22"/>
          <w:szCs w:val="22"/>
        </w:rPr>
        <w:footnoteReference w:id="2"/>
      </w:r>
    </w:p>
    <w:p w14:paraId="6C3E5915" w14:textId="6961AD63" w:rsidR="00A338C0" w:rsidRPr="00D86C5A" w:rsidRDefault="00A338C0" w:rsidP="00D86C5A">
      <w:pPr>
        <w:pStyle w:val="ListParagraph"/>
        <w:numPr>
          <w:ilvl w:val="0"/>
          <w:numId w:val="19"/>
        </w:numPr>
        <w:spacing w:before="240" w:after="160" w:line="259" w:lineRule="auto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 na něj nevztahuje zákaz zadání nebo plnění veřejné zakázky dle příslušných nařízení Rady EU či s ohledem na další vyhlášené mezinárodní sankce.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881AC" w14:textId="77777777" w:rsidR="00C242D8" w:rsidRDefault="00C242D8" w:rsidP="0024368F">
      <w:r>
        <w:separator/>
      </w:r>
    </w:p>
  </w:endnote>
  <w:endnote w:type="continuationSeparator" w:id="0">
    <w:p w14:paraId="1FAEF245" w14:textId="77777777" w:rsidR="00C242D8" w:rsidRDefault="00C242D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CC3A2" w14:textId="77777777" w:rsidR="00C242D8" w:rsidRDefault="00C242D8" w:rsidP="0024368F">
      <w:r>
        <w:separator/>
      </w:r>
    </w:p>
  </w:footnote>
  <w:footnote w:type="continuationSeparator" w:id="0">
    <w:p w14:paraId="1FEDE125" w14:textId="77777777" w:rsidR="00C242D8" w:rsidRDefault="00C242D8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FootnoteText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FootnoteReference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FootnoteText"/>
        <w:spacing w:line="240" w:lineRule="auto"/>
      </w:pPr>
      <w:r>
        <w:rPr>
          <w:rStyle w:val="FootnoteReference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35C7" w14:textId="7D99CAC7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A338C0">
      <w:rPr>
        <w:rFonts w:asciiTheme="minorHAnsi" w:hAnsiTheme="minorHAnsi" w:cstheme="minorHAnsi"/>
        <w:i/>
        <w:sz w:val="22"/>
        <w:szCs w:val="22"/>
      </w:rPr>
      <w:t xml:space="preserve"> a k 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E27E1A"/>
    <w:multiLevelType w:val="hybridMultilevel"/>
    <w:tmpl w:val="5D40BAA2"/>
    <w:lvl w:ilvl="0" w:tplc="04050017">
      <w:start w:val="1"/>
      <w:numFmt w:val="lowerLetter"/>
      <w:lvlText w:val="%1)"/>
      <w:lvlJc w:val="left"/>
      <w:pPr>
        <w:ind w:left="79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</w:lvl>
    <w:lvl w:ilvl="2" w:tplc="0405001B" w:tentative="1">
      <w:start w:val="1"/>
      <w:numFmt w:val="lowerRoman"/>
      <w:lvlText w:val="%3."/>
      <w:lvlJc w:val="right"/>
      <w:pPr>
        <w:ind w:left="2236" w:hanging="180"/>
      </w:pPr>
    </w:lvl>
    <w:lvl w:ilvl="3" w:tplc="0405000F" w:tentative="1">
      <w:start w:val="1"/>
      <w:numFmt w:val="decimal"/>
      <w:lvlText w:val="%4."/>
      <w:lvlJc w:val="left"/>
      <w:pPr>
        <w:ind w:left="2956" w:hanging="360"/>
      </w:p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</w:lvl>
    <w:lvl w:ilvl="6" w:tplc="0405000F" w:tentative="1">
      <w:start w:val="1"/>
      <w:numFmt w:val="decimal"/>
      <w:lvlText w:val="%7."/>
      <w:lvlJc w:val="left"/>
      <w:pPr>
        <w:ind w:left="5116" w:hanging="360"/>
      </w:p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6045946">
    <w:abstractNumId w:val="16"/>
  </w:num>
  <w:num w:numId="2" w16cid:durableId="299042148">
    <w:abstractNumId w:val="17"/>
  </w:num>
  <w:num w:numId="3" w16cid:durableId="1194852409">
    <w:abstractNumId w:val="4"/>
  </w:num>
  <w:num w:numId="4" w16cid:durableId="649751435">
    <w:abstractNumId w:val="0"/>
  </w:num>
  <w:num w:numId="5" w16cid:durableId="1181894665">
    <w:abstractNumId w:val="9"/>
  </w:num>
  <w:num w:numId="6" w16cid:durableId="1294673234">
    <w:abstractNumId w:val="1"/>
  </w:num>
  <w:num w:numId="7" w16cid:durableId="1655136196">
    <w:abstractNumId w:val="11"/>
  </w:num>
  <w:num w:numId="8" w16cid:durableId="181945278">
    <w:abstractNumId w:val="15"/>
  </w:num>
  <w:num w:numId="9" w16cid:durableId="583760457">
    <w:abstractNumId w:val="12"/>
  </w:num>
  <w:num w:numId="10" w16cid:durableId="2116558622">
    <w:abstractNumId w:val="5"/>
  </w:num>
  <w:num w:numId="11" w16cid:durableId="1435829790">
    <w:abstractNumId w:val="10"/>
  </w:num>
  <w:num w:numId="12" w16cid:durableId="1399093365">
    <w:abstractNumId w:val="7"/>
  </w:num>
  <w:num w:numId="13" w16cid:durableId="355817852">
    <w:abstractNumId w:val="18"/>
  </w:num>
  <w:num w:numId="14" w16cid:durableId="1325738525">
    <w:abstractNumId w:val="3"/>
  </w:num>
  <w:num w:numId="15" w16cid:durableId="251159590">
    <w:abstractNumId w:val="2"/>
  </w:num>
  <w:num w:numId="16" w16cid:durableId="1803305274">
    <w:abstractNumId w:val="14"/>
  </w:num>
  <w:num w:numId="17" w16cid:durableId="25183849">
    <w:abstractNumId w:val="6"/>
  </w:num>
  <w:num w:numId="18" w16cid:durableId="413282589">
    <w:abstractNumId w:val="8"/>
  </w:num>
  <w:num w:numId="19" w16cid:durableId="2059156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B7262"/>
    <w:rsid w:val="004E431E"/>
    <w:rsid w:val="004F09CC"/>
    <w:rsid w:val="0050145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07C27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338C0"/>
    <w:rsid w:val="00A442A5"/>
    <w:rsid w:val="00A530B5"/>
    <w:rsid w:val="00A70446"/>
    <w:rsid w:val="00A83E98"/>
    <w:rsid w:val="00A8697E"/>
    <w:rsid w:val="00AA4618"/>
    <w:rsid w:val="00AB5545"/>
    <w:rsid w:val="00AF44ED"/>
    <w:rsid w:val="00AF7E7F"/>
    <w:rsid w:val="00B3639C"/>
    <w:rsid w:val="00B404CE"/>
    <w:rsid w:val="00B6321B"/>
    <w:rsid w:val="00BA018C"/>
    <w:rsid w:val="00BA6EE2"/>
    <w:rsid w:val="00C020F0"/>
    <w:rsid w:val="00C242D8"/>
    <w:rsid w:val="00C327B0"/>
    <w:rsid w:val="00C4021E"/>
    <w:rsid w:val="00C57D98"/>
    <w:rsid w:val="00C65406"/>
    <w:rsid w:val="00C911DD"/>
    <w:rsid w:val="00CA1EE3"/>
    <w:rsid w:val="00CB21E7"/>
    <w:rsid w:val="00CB453A"/>
    <w:rsid w:val="00CC5367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86C5A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4C8"/>
    <w:rPr>
      <w:sz w:val="24"/>
      <w:szCs w:val="24"/>
    </w:rPr>
  </w:style>
  <w:style w:type="paragraph" w:styleId="Heading1">
    <w:name w:val="heading 1"/>
    <w:basedOn w:val="Normal"/>
    <w:next w:val="Normal"/>
    <w:qFormat/>
    <w:rsid w:val="003864C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3864C8"/>
    <w:pPr>
      <w:jc w:val="both"/>
    </w:pPr>
  </w:style>
  <w:style w:type="paragraph" w:styleId="BodyTextIndent">
    <w:name w:val="Body Text Indent"/>
    <w:basedOn w:val="Normal"/>
    <w:semiHidden/>
    <w:rsid w:val="003864C8"/>
    <w:pPr>
      <w:ind w:left="540" w:hanging="540"/>
    </w:pPr>
  </w:style>
  <w:style w:type="paragraph" w:styleId="BodyTextIndent2">
    <w:name w:val="Body Text Indent 2"/>
    <w:basedOn w:val="Normal"/>
    <w:semiHidden/>
    <w:rsid w:val="003864C8"/>
    <w:pPr>
      <w:ind w:left="540" w:hanging="540"/>
      <w:jc w:val="both"/>
    </w:pPr>
  </w:style>
  <w:style w:type="paragraph" w:styleId="BalloonText">
    <w:name w:val="Balloon Text"/>
    <w:basedOn w:val="Normal"/>
    <w:semiHidden/>
    <w:rsid w:val="003864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2710C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60B94"/>
    <w:pPr>
      <w:ind w:left="708"/>
    </w:pPr>
  </w:style>
  <w:style w:type="character" w:styleId="CommentReference">
    <w:name w:val="annotation reference"/>
    <w:basedOn w:val="DefaultParagraphFont"/>
    <w:uiPriority w:val="99"/>
    <w:unhideWhenUsed/>
    <w:rsid w:val="00202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2D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2D3E"/>
  </w:style>
  <w:style w:type="paragraph" w:styleId="Footer">
    <w:name w:val="footer"/>
    <w:basedOn w:val="Normal"/>
    <w:link w:val="Footer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0A045A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0A045A"/>
    <w:rPr>
      <w:b/>
      <w:bCs/>
      <w:sz w:val="28"/>
      <w:szCs w:val="24"/>
    </w:rPr>
  </w:style>
  <w:style w:type="paragraph" w:styleId="FootnoteText">
    <w:name w:val="footnote text"/>
    <w:basedOn w:val="Normal"/>
    <w:link w:val="FootnoteText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129E"/>
  </w:style>
  <w:style w:type="character" w:styleId="FootnoteReference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al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07CDB"/>
    <w:rPr>
      <w:sz w:val="24"/>
      <w:szCs w:val="24"/>
    </w:rPr>
  </w:style>
  <w:style w:type="paragraph" w:styleId="Revision">
    <w:name w:val="Revision"/>
    <w:hidden/>
    <w:uiPriority w:val="99"/>
    <w:semiHidden/>
    <w:rsid w:val="00A338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96C2F-9448-4919-86A7-3891C1DC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3</cp:revision>
  <cp:lastPrinted>2012-06-13T06:30:00Z</cp:lastPrinted>
  <dcterms:created xsi:type="dcterms:W3CDTF">2023-01-06T09:59:00Z</dcterms:created>
  <dcterms:modified xsi:type="dcterms:W3CDTF">2023-01-26T10:36:00Z</dcterms:modified>
</cp:coreProperties>
</file>