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F5F2" w14:textId="3C747EB6" w:rsidR="00B74AE9" w:rsidRDefault="00C66D4A">
      <w:pPr>
        <w:spacing w:after="0"/>
        <w:jc w:val="center"/>
        <w:rPr>
          <w:b/>
          <w:sz w:val="24"/>
          <w:szCs w:val="24"/>
        </w:rPr>
      </w:pPr>
      <w:bookmarkStart w:id="0" w:name="_Hlk110585289"/>
      <w:r>
        <w:rPr>
          <w:b/>
          <w:sz w:val="24"/>
          <w:szCs w:val="24"/>
        </w:rPr>
        <w:t xml:space="preserve">Smlouva o poskytování ochranných bezpečnostních služeb č. </w:t>
      </w:r>
      <w:r w:rsidR="0018583F">
        <w:rPr>
          <w:b/>
          <w:sz w:val="24"/>
          <w:szCs w:val="24"/>
        </w:rPr>
        <w:t>………</w:t>
      </w:r>
      <w:proofErr w:type="gramStart"/>
      <w:r w:rsidR="0018583F">
        <w:rPr>
          <w:b/>
          <w:sz w:val="24"/>
          <w:szCs w:val="24"/>
        </w:rPr>
        <w:t>…….</w:t>
      </w:r>
      <w:proofErr w:type="gramEnd"/>
      <w:r w:rsidR="0018583F">
        <w:rPr>
          <w:b/>
          <w:sz w:val="24"/>
          <w:szCs w:val="24"/>
        </w:rPr>
        <w:t>.</w:t>
      </w:r>
    </w:p>
    <w:p w14:paraId="199F225A" w14:textId="77777777" w:rsidR="00B74AE9" w:rsidRDefault="00C66D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1746 odst. 2 zákona č. 89/2012, občanského zákoníku, v platném znění mezi smluvními stranami:</w:t>
      </w:r>
    </w:p>
    <w:p w14:paraId="710501D4" w14:textId="77777777" w:rsidR="00B74AE9" w:rsidRDefault="00B74AE9">
      <w:pPr>
        <w:spacing w:after="0"/>
      </w:pPr>
    </w:p>
    <w:p w14:paraId="68240990" w14:textId="69B6150C" w:rsidR="00B74AE9" w:rsidRDefault="00230DF6">
      <w:pPr>
        <w:spacing w:after="0"/>
        <w:rPr>
          <w:b/>
        </w:rPr>
      </w:pPr>
      <w:r>
        <w:rPr>
          <w:b/>
        </w:rPr>
        <w:t>Odběratel:</w:t>
      </w:r>
      <w:r w:rsidR="00C66D4A">
        <w:rPr>
          <w:b/>
        </w:rPr>
        <w:tab/>
      </w:r>
      <w:r w:rsidR="00C66D4A">
        <w:rPr>
          <w:b/>
        </w:rPr>
        <w:tab/>
      </w:r>
      <w:r w:rsidR="00C66D4A">
        <w:rPr>
          <w:b/>
        </w:rPr>
        <w:tab/>
      </w:r>
      <w:r w:rsidR="00C66D4A">
        <w:rPr>
          <w:b/>
        </w:rPr>
        <w:tab/>
        <w:t>Nemocnice s poliklinikou Česká Lípa a.s.</w:t>
      </w:r>
    </w:p>
    <w:p w14:paraId="498FDAB7" w14:textId="77777777" w:rsidR="00B74AE9" w:rsidRDefault="00C66D4A">
      <w:pPr>
        <w:spacing w:after="0"/>
      </w:pPr>
      <w:r>
        <w:rPr>
          <w:color w:val="000000"/>
        </w:rPr>
        <w:t>Sídlo/Trvalé bydliště</w:t>
      </w:r>
      <w:r>
        <w:t>:</w:t>
      </w:r>
      <w:r>
        <w:tab/>
      </w:r>
      <w:r>
        <w:tab/>
      </w:r>
      <w:r>
        <w:tab/>
        <w:t>Purkyňova 1849, 470 01 Česká Lípa</w:t>
      </w:r>
    </w:p>
    <w:p w14:paraId="2EC66C8F" w14:textId="77777777" w:rsidR="00B74AE9" w:rsidRDefault="00C66D4A">
      <w:pPr>
        <w:spacing w:after="0"/>
      </w:pPr>
      <w:r>
        <w:rPr>
          <w:color w:val="000000"/>
        </w:rPr>
        <w:t>IČ/ Datum narození</w:t>
      </w:r>
      <w:r>
        <w:rPr>
          <w:color w:val="808080"/>
        </w:rPr>
        <w:t>:</w:t>
      </w:r>
      <w:r>
        <w:tab/>
      </w:r>
      <w:r>
        <w:tab/>
      </w:r>
      <w:r>
        <w:tab/>
        <w:t>272 83 518</w:t>
      </w:r>
    </w:p>
    <w:p w14:paraId="0D3F67C5" w14:textId="77777777" w:rsidR="00B74AE9" w:rsidRDefault="00C66D4A">
      <w:pPr>
        <w:spacing w:after="0"/>
        <w:rPr>
          <w:color w:val="808080"/>
        </w:rPr>
      </w:pPr>
      <w:r>
        <w:rPr>
          <w:color w:val="000000"/>
        </w:rPr>
        <w:t>DIČ/Číslo OP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t>CZ27283518</w:t>
      </w:r>
    </w:p>
    <w:p w14:paraId="547C9E6C" w14:textId="6AC71E15" w:rsidR="00B74AE9" w:rsidRDefault="00C66D4A">
      <w:pPr>
        <w:spacing w:after="0"/>
      </w:pPr>
      <w:r>
        <w:t>Zastoupení ve věcech smluvních:</w:t>
      </w:r>
      <w:r>
        <w:tab/>
        <w:t>Ing.</w:t>
      </w:r>
      <w:r w:rsidR="0018583F">
        <w:t xml:space="preserve"> </w:t>
      </w:r>
      <w:r>
        <w:t xml:space="preserve">Pavel </w:t>
      </w:r>
      <w:r w:rsidR="00765F43">
        <w:t>Marek – předseda</w:t>
      </w:r>
      <w:r w:rsidR="0018583F">
        <w:t xml:space="preserve"> představenstva</w:t>
      </w:r>
    </w:p>
    <w:p w14:paraId="4BD6755E" w14:textId="5D887679" w:rsidR="00B74AE9" w:rsidRDefault="00C66D4A">
      <w:pPr>
        <w:spacing w:after="0"/>
        <w:rPr>
          <w:color w:val="808080"/>
        </w:rPr>
      </w:pPr>
      <w:r>
        <w:t>Zastoupení ve věcech technických:</w:t>
      </w:r>
      <w:r>
        <w:tab/>
        <w:t>Jan Mencl</w:t>
      </w:r>
      <w:r w:rsidR="0018583F">
        <w:t xml:space="preserve"> </w:t>
      </w:r>
      <w:r>
        <w:t>DiS</w:t>
      </w:r>
      <w:r w:rsidR="0018583F">
        <w:t>.</w:t>
      </w:r>
      <w:r>
        <w:t>, technický a provozní ředitel</w:t>
      </w:r>
    </w:p>
    <w:p w14:paraId="7D6172B5" w14:textId="77777777" w:rsidR="00B74AE9" w:rsidRDefault="00C66D4A">
      <w:pPr>
        <w:spacing w:after="0"/>
      </w:pPr>
      <w:r>
        <w:t>E-mail:</w:t>
      </w:r>
      <w:r>
        <w:tab/>
      </w:r>
      <w:r>
        <w:tab/>
      </w:r>
      <w:r>
        <w:tab/>
      </w:r>
      <w:r>
        <w:tab/>
      </w:r>
      <w:r>
        <w:tab/>
        <w:t>jan.mencl@nemcl.cz</w:t>
      </w:r>
    </w:p>
    <w:p w14:paraId="1E7A889C" w14:textId="77777777" w:rsidR="00B74AE9" w:rsidRDefault="00C66D4A">
      <w:pPr>
        <w:spacing w:after="0"/>
      </w:pPr>
      <w:r>
        <w:t>Tel.:</w:t>
      </w:r>
      <w:r>
        <w:tab/>
      </w:r>
      <w:r>
        <w:tab/>
      </w:r>
      <w:r>
        <w:tab/>
      </w:r>
      <w:r>
        <w:tab/>
      </w:r>
      <w:r>
        <w:tab/>
        <w:t>702 128 138</w:t>
      </w:r>
    </w:p>
    <w:p w14:paraId="5DD79014" w14:textId="6857156B" w:rsidR="00B74AE9" w:rsidRDefault="00C66D4A" w:rsidP="001858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60"/>
        </w:tabs>
        <w:spacing w:after="0"/>
      </w:pPr>
      <w:r>
        <w:t>Bankovní spojení:</w:t>
      </w:r>
      <w:r>
        <w:tab/>
      </w:r>
      <w:r>
        <w:tab/>
      </w:r>
      <w:r>
        <w:tab/>
        <w:t>Moneta Money Bank,</w:t>
      </w:r>
      <w:r w:rsidR="0018583F">
        <w:t xml:space="preserve"> </w:t>
      </w:r>
      <w:r>
        <w:t>a.s.</w:t>
      </w:r>
      <w:r w:rsidR="0018583F">
        <w:tab/>
      </w:r>
    </w:p>
    <w:p w14:paraId="31BF2D14" w14:textId="77777777" w:rsidR="00B74AE9" w:rsidRDefault="00C66D4A">
      <w:pPr>
        <w:spacing w:after="0"/>
      </w:pPr>
      <w:r>
        <w:t>Číslo účtu:</w:t>
      </w:r>
      <w:r>
        <w:tab/>
      </w:r>
      <w:r>
        <w:tab/>
      </w:r>
      <w:r>
        <w:tab/>
      </w:r>
      <w:r>
        <w:tab/>
        <w:t>183452738/0600</w:t>
      </w:r>
    </w:p>
    <w:p w14:paraId="0E311BA1" w14:textId="77777777" w:rsidR="00B74AE9" w:rsidRDefault="00C66D4A">
      <w:pPr>
        <w:spacing w:after="0"/>
      </w:pPr>
      <w:r>
        <w:t>Doručovací adresa:</w:t>
      </w:r>
      <w:r>
        <w:tab/>
      </w:r>
      <w:r>
        <w:tab/>
      </w:r>
      <w:r>
        <w:tab/>
        <w:t>Purkyňova 1849, 470 01 Česká Lípa</w:t>
      </w:r>
    </w:p>
    <w:p w14:paraId="0CFDAE48" w14:textId="1ADC72D4" w:rsidR="00B74AE9" w:rsidRDefault="00C66D4A">
      <w:pPr>
        <w:spacing w:after="0"/>
        <w:rPr>
          <w:color w:val="000000"/>
        </w:rPr>
      </w:pPr>
      <w:r>
        <w:rPr>
          <w:color w:val="000000"/>
        </w:rPr>
        <w:t>Společnost je zapsána v obchodním rejstříku vedeném u Krajského soudu v Ústí nad Labem, oddíl B, vložka 1648</w:t>
      </w:r>
    </w:p>
    <w:p w14:paraId="162DE2CB" w14:textId="79624CED" w:rsidR="0018583F" w:rsidRDefault="0018583F" w:rsidP="0018583F">
      <w:pPr>
        <w:spacing w:after="0"/>
        <w:jc w:val="center"/>
        <w:rPr>
          <w:color w:val="000000"/>
        </w:rPr>
      </w:pPr>
    </w:p>
    <w:p w14:paraId="411058F3" w14:textId="73DA02E9" w:rsidR="0018583F" w:rsidRDefault="0018583F" w:rsidP="0018583F">
      <w:pPr>
        <w:spacing w:after="0"/>
        <w:rPr>
          <w:b/>
        </w:rPr>
      </w:pPr>
      <w:r>
        <w:rPr>
          <w:b/>
        </w:rPr>
        <w:t>Poskytovatel: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5F43" w:rsidRPr="00C26308">
        <w:rPr>
          <w:b/>
          <w:highlight w:val="lightGray"/>
        </w:rPr>
        <w:t>_________________________</w:t>
      </w:r>
    </w:p>
    <w:p w14:paraId="2B3126EA" w14:textId="0DAEAB72" w:rsidR="0018583F" w:rsidRDefault="0018583F" w:rsidP="0018583F">
      <w:pPr>
        <w:spacing w:after="0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 w:rsidR="00765F43" w:rsidRPr="003C0F78">
        <w:rPr>
          <w:b/>
          <w:highlight w:val="lightGray"/>
        </w:rPr>
        <w:t>_________________________</w:t>
      </w:r>
    </w:p>
    <w:p w14:paraId="17AEA12C" w14:textId="00F3DF34" w:rsidR="0018583F" w:rsidRDefault="0018583F" w:rsidP="0018583F">
      <w:pPr>
        <w:spacing w:after="0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765F43" w:rsidRPr="003C0F78">
        <w:rPr>
          <w:b/>
          <w:highlight w:val="lightGray"/>
        </w:rPr>
        <w:t>_________________________</w:t>
      </w:r>
    </w:p>
    <w:p w14:paraId="2169D75F" w14:textId="26C67681" w:rsidR="0018583F" w:rsidRDefault="0018583F" w:rsidP="0018583F">
      <w:pPr>
        <w:spacing w:after="0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765F43" w:rsidRPr="003C0F78">
        <w:rPr>
          <w:b/>
          <w:highlight w:val="lightGray"/>
        </w:rPr>
        <w:t>_________________________</w:t>
      </w:r>
    </w:p>
    <w:p w14:paraId="74782ECD" w14:textId="26BCF793" w:rsidR="0018583F" w:rsidRDefault="0018583F" w:rsidP="0018583F">
      <w:pPr>
        <w:spacing w:after="0"/>
      </w:pPr>
      <w:r>
        <w:t>Zastoupení ve věcech smluvních:</w:t>
      </w:r>
      <w:r>
        <w:tab/>
      </w:r>
      <w:r w:rsidR="00765F43" w:rsidRPr="003C0F78">
        <w:rPr>
          <w:b/>
          <w:highlight w:val="lightGray"/>
        </w:rPr>
        <w:t>_________________________</w:t>
      </w:r>
    </w:p>
    <w:p w14:paraId="41A85FC4" w14:textId="3A729709" w:rsidR="0018583F" w:rsidRDefault="0018583F" w:rsidP="0018583F">
      <w:pPr>
        <w:spacing w:after="0"/>
      </w:pPr>
      <w:r>
        <w:t>Zastoupení ve věcech technických:</w:t>
      </w:r>
      <w:r>
        <w:tab/>
      </w:r>
      <w:r w:rsidR="00765F43" w:rsidRPr="003C0F78">
        <w:rPr>
          <w:b/>
          <w:highlight w:val="lightGray"/>
        </w:rPr>
        <w:t>_________________________</w:t>
      </w:r>
    </w:p>
    <w:p w14:paraId="736EAE41" w14:textId="2F4F4031" w:rsidR="0018583F" w:rsidRDefault="0018583F" w:rsidP="0018583F">
      <w:pPr>
        <w:spacing w:after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765F43" w:rsidRPr="00C26308">
        <w:rPr>
          <w:highlight w:val="lightGray"/>
        </w:rPr>
        <w:t>_________</w:t>
      </w:r>
      <w:r w:rsidR="00EB15B2">
        <w:t>@</w:t>
      </w:r>
      <w:r w:rsidR="00765F43" w:rsidRPr="00C26308">
        <w:rPr>
          <w:highlight w:val="lightGray"/>
        </w:rPr>
        <w:t>______________</w:t>
      </w:r>
    </w:p>
    <w:p w14:paraId="781FDB76" w14:textId="55FB8C1D" w:rsidR="0018583F" w:rsidRDefault="0018583F" w:rsidP="0018583F">
      <w:pPr>
        <w:spacing w:after="0"/>
      </w:pPr>
      <w:r>
        <w:t>Tel.:</w:t>
      </w:r>
      <w:r>
        <w:tab/>
      </w:r>
      <w:r>
        <w:tab/>
      </w:r>
      <w:r>
        <w:tab/>
      </w:r>
      <w:r>
        <w:tab/>
      </w:r>
      <w:r>
        <w:tab/>
        <w:t>+420</w:t>
      </w:r>
      <w:r w:rsidR="00765F43" w:rsidRPr="00C26308">
        <w:rPr>
          <w:highlight w:val="lightGray"/>
        </w:rPr>
        <w:t>_____________________</w:t>
      </w:r>
    </w:p>
    <w:p w14:paraId="793334C6" w14:textId="2E3B2082" w:rsidR="0018583F" w:rsidRDefault="0018583F" w:rsidP="0018583F">
      <w:pPr>
        <w:spacing w:after="0"/>
      </w:pPr>
      <w:r>
        <w:t>Bankovní spojení:</w:t>
      </w:r>
      <w:r>
        <w:tab/>
      </w:r>
      <w:r>
        <w:tab/>
      </w:r>
      <w:r>
        <w:tab/>
      </w:r>
      <w:r w:rsidR="00765F43" w:rsidRPr="00C26308">
        <w:rPr>
          <w:highlight w:val="lightGray"/>
        </w:rPr>
        <w:t>_________________________</w:t>
      </w:r>
    </w:p>
    <w:p w14:paraId="3C7C9A53" w14:textId="2D5AEB40" w:rsidR="0018583F" w:rsidRDefault="0018583F" w:rsidP="0018583F">
      <w:pPr>
        <w:spacing w:after="0"/>
      </w:pPr>
      <w:r>
        <w:t>Číslo účtu:</w:t>
      </w:r>
      <w:r>
        <w:tab/>
      </w:r>
      <w:r>
        <w:tab/>
      </w:r>
      <w:r>
        <w:tab/>
      </w:r>
      <w:r>
        <w:tab/>
      </w:r>
      <w:r w:rsidR="00765F43" w:rsidRPr="00C26308">
        <w:rPr>
          <w:highlight w:val="lightGray"/>
        </w:rPr>
        <w:t>_________________________</w:t>
      </w:r>
    </w:p>
    <w:p w14:paraId="13392883" w14:textId="1E82033E" w:rsidR="0018583F" w:rsidRDefault="0018583F" w:rsidP="0018583F">
      <w:pPr>
        <w:spacing w:after="0"/>
      </w:pPr>
      <w:r>
        <w:t xml:space="preserve">Společnost je zapsána v obchodním rejstříku vedeném u </w:t>
      </w:r>
      <w:r w:rsidR="00765F43" w:rsidRPr="00C26308">
        <w:rPr>
          <w:highlight w:val="lightGray"/>
        </w:rPr>
        <w:t>_______</w:t>
      </w:r>
      <w:r>
        <w:t xml:space="preserve"> v </w:t>
      </w:r>
      <w:r w:rsidR="00765F43" w:rsidRPr="00C26308">
        <w:rPr>
          <w:highlight w:val="lightGray"/>
        </w:rPr>
        <w:t>_____</w:t>
      </w:r>
      <w:r>
        <w:t xml:space="preserve">, oddíl </w:t>
      </w:r>
      <w:r w:rsidR="00765F43" w:rsidRPr="00C26308">
        <w:rPr>
          <w:highlight w:val="lightGray"/>
        </w:rPr>
        <w:t>__</w:t>
      </w:r>
      <w:r>
        <w:t xml:space="preserve">, vložka </w:t>
      </w:r>
      <w:r w:rsidR="00765F43" w:rsidRPr="00C26308">
        <w:rPr>
          <w:highlight w:val="lightGray"/>
        </w:rPr>
        <w:t>____</w:t>
      </w:r>
      <w:r>
        <w:t>.</w:t>
      </w:r>
    </w:p>
    <w:p w14:paraId="4B2E0F5E" w14:textId="77777777" w:rsidR="0018583F" w:rsidRDefault="0018583F">
      <w:pPr>
        <w:spacing w:after="0"/>
        <w:rPr>
          <w:color w:val="000000"/>
        </w:rPr>
      </w:pPr>
    </w:p>
    <w:p w14:paraId="7B13BBDF" w14:textId="77777777" w:rsidR="00B74AE9" w:rsidRDefault="00C66D4A">
      <w:pPr>
        <w:pStyle w:val="Nadpis1"/>
      </w:pPr>
      <w:r>
        <w:t>I. Úvodní prohlášení</w:t>
      </w:r>
    </w:p>
    <w:p w14:paraId="3F1B514C" w14:textId="77777777" w:rsidR="00B74AE9" w:rsidRDefault="00C66D4A">
      <w:pPr>
        <w:spacing w:after="0"/>
        <w:jc w:val="both"/>
      </w:pPr>
      <w:r>
        <w:t>Poskytovatel je obchodní společností, jejímž předmětem podnikání je mimo jiné ostraha majetku a osob a poskytování technických služeb k ochraně majetku a osob. Poskytovatel prohlašuje, že je držitelem platného oprávnění (koncesní listiny) k poskytování plnění dle této smlouvy a splňuje on a osoby, kterými svoji činnost provádí, veškeré podmínky stanovené právním řádem k plnění předmětu této smlouvy.</w:t>
      </w:r>
    </w:p>
    <w:p w14:paraId="160AB10C" w14:textId="77777777" w:rsidR="00B74AE9" w:rsidRDefault="00C66D4A" w:rsidP="00C26308">
      <w:pPr>
        <w:pStyle w:val="Nadpis1"/>
        <w:spacing w:after="120"/>
      </w:pPr>
      <w:r>
        <w:t>II. Předmět smlouvy</w:t>
      </w:r>
    </w:p>
    <w:p w14:paraId="3336C412" w14:textId="5EB4139F" w:rsidR="00B74AE9" w:rsidRPr="007C79D9" w:rsidRDefault="00C66D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Předmětem této smlouvy je závazek poskytovatele poskytnout úplatné zajištění ochranných bezpečnostních služeb</w:t>
      </w:r>
      <w:r w:rsidR="00C12353">
        <w:rPr>
          <w:color w:val="000000"/>
        </w:rPr>
        <w:t>, (dále jako „služba“),</w:t>
      </w:r>
      <w:r>
        <w:rPr>
          <w:color w:val="000000"/>
        </w:rPr>
        <w:t xml:space="preserve"> na objektu </w:t>
      </w:r>
      <w:r>
        <w:rPr>
          <w:b/>
          <w:color w:val="000000"/>
        </w:rPr>
        <w:t>Nemocnice s poliklinikou Česká Lípa,</w:t>
      </w:r>
      <w:r w:rsidR="00241DE2">
        <w:rPr>
          <w:b/>
          <w:color w:val="000000"/>
        </w:rPr>
        <w:t xml:space="preserve"> </w:t>
      </w:r>
      <w:r>
        <w:rPr>
          <w:b/>
          <w:color w:val="000000"/>
        </w:rPr>
        <w:t>a.s</w:t>
      </w:r>
      <w:r>
        <w:rPr>
          <w:color w:val="000000"/>
        </w:rPr>
        <w:t xml:space="preserve">. </w:t>
      </w:r>
    </w:p>
    <w:p w14:paraId="49534819" w14:textId="759847A0" w:rsidR="007C79D9" w:rsidRPr="007C79D9" w:rsidRDefault="007C79D9" w:rsidP="007C79D9">
      <w:pPr>
        <w:pStyle w:val="Odstavecseseznamem"/>
        <w:numPr>
          <w:ilvl w:val="0"/>
          <w:numId w:val="10"/>
        </w:numPr>
        <w:jc w:val="both"/>
      </w:pPr>
      <w:r w:rsidRPr="007C79D9">
        <w:t>Smluvní strany smlouvu uzavřely na základě pod</w:t>
      </w:r>
      <w:r w:rsidR="00241DE2">
        <w:t>a</w:t>
      </w:r>
      <w:r w:rsidRPr="007C79D9">
        <w:t>n</w:t>
      </w:r>
      <w:r w:rsidR="00D06352">
        <w:t>é</w:t>
      </w:r>
      <w:r w:rsidRPr="007C79D9">
        <w:t xml:space="preserve"> nabídky </w:t>
      </w:r>
      <w:r w:rsidR="00D06352">
        <w:t xml:space="preserve">poskytovatele </w:t>
      </w:r>
      <w:r w:rsidRPr="007C79D9">
        <w:t>na veřejnou zakázku „</w:t>
      </w:r>
      <w:r w:rsidRPr="007C79D9">
        <w:rPr>
          <w:b/>
          <w:bCs/>
        </w:rPr>
        <w:t>Ostraha areálu Nemocnice s poliklinikou Česká Lípa, a.s.</w:t>
      </w:r>
      <w:r w:rsidRPr="007C79D9">
        <w:t>“</w:t>
      </w:r>
      <w:r w:rsidR="00D06352">
        <w:t xml:space="preserve"> Zadávací dokumentace a nabídka poskytovatele </w:t>
      </w:r>
      <w:proofErr w:type="gramStart"/>
      <w:r w:rsidR="00D06352">
        <w:t>tvoří</w:t>
      </w:r>
      <w:proofErr w:type="gramEnd"/>
      <w:r w:rsidR="00D06352">
        <w:t xml:space="preserve"> nedílnou součást této smlouvy a jsou pro smluvní strany rovněž závazné. </w:t>
      </w:r>
    </w:p>
    <w:p w14:paraId="0AB9353D" w14:textId="77777777" w:rsidR="00B74AE9" w:rsidRDefault="00B74AE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7E3C2B11" w14:textId="77777777" w:rsidR="00B74AE9" w:rsidRDefault="00C66D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Služba zahrnuje tyto činnosti:</w:t>
      </w:r>
    </w:p>
    <w:p w14:paraId="3E692A86" w14:textId="77777777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 xml:space="preserve">Vnější a vnitřní střežení areálu včetně jeho jednotlivých objektů proti neoprávněnému vniknutí třetích osob, k zabránění havárií elektřiny, plynu a vody a vzniku požárů či jiných událostí ohrožujících majetek zadavatele, </w:t>
      </w:r>
    </w:p>
    <w:p w14:paraId="63912B1F" w14:textId="77777777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pravidelná preventivní pochůzková činnost v areálu a budovách a střežení stávajícím kamerovým systémem,</w:t>
      </w:r>
    </w:p>
    <w:p w14:paraId="5330394D" w14:textId="77777777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dohled nad dodržováním návštěvních hodin,</w:t>
      </w:r>
    </w:p>
    <w:p w14:paraId="7C130E2B" w14:textId="77777777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dohled nad dodržováním čistoty a pořádku,</w:t>
      </w:r>
    </w:p>
    <w:p w14:paraId="0213879A" w14:textId="77777777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bránění vzniku škod, předcházení vandalismu,</w:t>
      </w:r>
    </w:p>
    <w:p w14:paraId="4245DBB6" w14:textId="77777777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 xml:space="preserve">zamezení obtěžování zaměstnanců, návštěvníků objektů závadovými osobami (závadové osoby jsou míněny osoby zjevně pod vlivem omamných nebo psychotropních látek, či s těmito </w:t>
      </w:r>
      <w:proofErr w:type="gramStart"/>
      <w:r w:rsidRPr="005C4479">
        <w:rPr>
          <w:color w:val="000000"/>
        </w:rPr>
        <w:t>látkami</w:t>
      </w:r>
      <w:proofErr w:type="gramEnd"/>
      <w:r w:rsidRPr="005C4479">
        <w:rPr>
          <w:color w:val="000000"/>
        </w:rPr>
        <w:t xml:space="preserve"> jakkoliv manipulující, zloději, osoby chovající se násilně nebo osoby, které poškozují majetek zákazníka, zaměstnanců nebo návštěvníků),</w:t>
      </w:r>
    </w:p>
    <w:p w14:paraId="0D0ABAE0" w14:textId="77777777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klíčová služba – správa a evidence, výdej a příjem,</w:t>
      </w:r>
    </w:p>
    <w:p w14:paraId="6FAFE11D" w14:textId="77777777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okamžitá reakce na mimořádné události včetně potřebného zásahu provedeného v mezích technických a fyzických možností zasahujícího vlastní zásahovou skupinou a okamžité nahlášení události dle jejího charakteru Policii ČR, HZS ČR či záchranné službě, případně MP Č.L.</w:t>
      </w:r>
    </w:p>
    <w:p w14:paraId="495C0926" w14:textId="5EECB39D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n</w:t>
      </w:r>
      <w:bookmarkStart w:id="1" w:name="_Hlk114223287"/>
      <w:r w:rsidRPr="005C4479">
        <w:rPr>
          <w:color w:val="000000"/>
        </w:rPr>
        <w:t xml:space="preserve">apojení </w:t>
      </w:r>
      <w:r w:rsidR="003458FA">
        <w:rPr>
          <w:color w:val="000000"/>
        </w:rPr>
        <w:t xml:space="preserve">elektronicky zabezpečených objektů </w:t>
      </w:r>
      <w:r w:rsidRPr="005C4479">
        <w:rPr>
          <w:color w:val="000000"/>
        </w:rPr>
        <w:t>areálu na pult centrální ochrany (PCO)</w:t>
      </w:r>
      <w:bookmarkEnd w:id="1"/>
      <w:r w:rsidRPr="005C4479">
        <w:rPr>
          <w:color w:val="000000"/>
        </w:rPr>
        <w:t>,</w:t>
      </w:r>
    </w:p>
    <w:p w14:paraId="6AD7DB22" w14:textId="561895F0" w:rsidR="005C4479" w:rsidRDefault="005C44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 xml:space="preserve">zajištění výjezdů zásahové skupiny v případě poplachového signálu, či na vyžádání objednavatele, či jinými okolnostmi souvisejícími s výkonem služby – </w:t>
      </w:r>
      <w:bookmarkStart w:id="2" w:name="_Hlk114218474"/>
      <w:r w:rsidRPr="005C4479">
        <w:rPr>
          <w:color w:val="000000"/>
        </w:rPr>
        <w:t>garance dojezdového času</w:t>
      </w:r>
      <w:r w:rsidR="00B27D8E" w:rsidRPr="00B27D8E">
        <w:rPr>
          <w:color w:val="000000"/>
        </w:rPr>
        <w:t xml:space="preserve"> </w:t>
      </w:r>
      <w:r w:rsidR="00B27D8E" w:rsidRPr="005C4479">
        <w:rPr>
          <w:color w:val="000000"/>
        </w:rPr>
        <w:t xml:space="preserve">ze </w:t>
      </w:r>
      <w:r w:rsidR="00B27D8E" w:rsidRPr="005C4479">
        <w:rPr>
          <w:color w:val="000000"/>
        </w:rPr>
        <w:t>základny</w:t>
      </w:r>
      <w:r w:rsidR="00B27D8E">
        <w:rPr>
          <w:color w:val="000000"/>
        </w:rPr>
        <w:t xml:space="preserve">: </w:t>
      </w:r>
      <w:r w:rsidR="00B27D8E" w:rsidRPr="005C4479">
        <w:rPr>
          <w:color w:val="000000"/>
        </w:rPr>
        <w:t>PANIC</w:t>
      </w:r>
      <w:r w:rsidR="00B27D8E">
        <w:rPr>
          <w:color w:val="000000"/>
        </w:rPr>
        <w:t xml:space="preserve"> tlačítko - </w:t>
      </w:r>
      <w:r w:rsidRPr="005C4479">
        <w:rPr>
          <w:color w:val="000000"/>
        </w:rPr>
        <w:t>5 min</w:t>
      </w:r>
      <w:r w:rsidR="00B27D8E">
        <w:rPr>
          <w:color w:val="000000"/>
        </w:rPr>
        <w:t>, výjezd na poplach – 15 min</w:t>
      </w:r>
      <w:bookmarkEnd w:id="2"/>
      <w:r w:rsidR="00B27D8E">
        <w:rPr>
          <w:color w:val="000000"/>
        </w:rPr>
        <w:t>,</w:t>
      </w:r>
    </w:p>
    <w:p w14:paraId="75FE8981" w14:textId="02DCCE4E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kompatibilita s instalovaným systémem JABLOTRON 100 včetně tísňových tlačítek, ovládání pomocí mobilní aplikace (např. zamčení zón, narušení apod.)</w:t>
      </w:r>
      <w:r w:rsidR="009554D0">
        <w:rPr>
          <w:color w:val="000000"/>
        </w:rPr>
        <w:t>,</w:t>
      </w:r>
    </w:p>
    <w:p w14:paraId="40EE1845" w14:textId="11840012" w:rsidR="005C4479" w:rsidRPr="005C4479" w:rsidRDefault="005C4479" w:rsidP="00C2630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color w:val="000000"/>
        </w:rPr>
      </w:pPr>
      <w:r w:rsidRPr="005C4479">
        <w:rPr>
          <w:color w:val="000000"/>
        </w:rPr>
        <w:t>zajištění nepřerušenosti provozu PCO – napojení na dieselagregát</w:t>
      </w:r>
      <w:r>
        <w:rPr>
          <w:color w:val="000000"/>
        </w:rPr>
        <w:t>.</w:t>
      </w:r>
    </w:p>
    <w:p w14:paraId="14AB76FD" w14:textId="77777777" w:rsidR="00B74AE9" w:rsidRDefault="00B74AE9">
      <w:pPr>
        <w:spacing w:after="0"/>
        <w:jc w:val="both"/>
      </w:pPr>
    </w:p>
    <w:p w14:paraId="110074CC" w14:textId="35F5377A" w:rsidR="00B74AE9" w:rsidRDefault="00C66D4A" w:rsidP="00C263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</w:rPr>
      </w:pPr>
      <w:r>
        <w:rPr>
          <w:color w:val="000000"/>
        </w:rPr>
        <w:t>Rozsah povinností výkonu fyzické ostrahy je specifikován ve „</w:t>
      </w:r>
      <w:r w:rsidRPr="00657D1B">
        <w:rPr>
          <w:color w:val="000000"/>
        </w:rPr>
        <w:t>Směrnici pro výkon strážní služby</w:t>
      </w:r>
      <w:r w:rsidR="00392056" w:rsidRPr="00657D1B">
        <w:rPr>
          <w:color w:val="000000"/>
        </w:rPr>
        <w:t>“ (</w:t>
      </w:r>
      <w:r w:rsidRPr="00657D1B">
        <w:rPr>
          <w:color w:val="000000"/>
        </w:rPr>
        <w:t>příloha č.1), která je přílohou této smlouvy a její nedílnou součástí.</w:t>
      </w:r>
      <w:r>
        <w:rPr>
          <w:color w:val="000000"/>
        </w:rPr>
        <w:t xml:space="preserve"> Smluvní strany se zavazují respektovat práva a plnit řádně a včas povinnosti v této Směrnici pro výkon uvedené služby.</w:t>
      </w:r>
    </w:p>
    <w:p w14:paraId="3FF26AB1" w14:textId="19973A95" w:rsidR="00B74AE9" w:rsidRPr="00F1645C" w:rsidRDefault="00A273BE" w:rsidP="00C263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Odběratel </w:t>
      </w:r>
      <w:r w:rsidR="00C66D4A">
        <w:rPr>
          <w:color w:val="000000"/>
        </w:rPr>
        <w:t>se zavazuje za poskytovatelem poskytnuté plnění dle této smlouvy uhradit poskytovateli sjednanou odměnu, a to ve výši a za podmínek stanovených v čl. VI této smlouvy.</w:t>
      </w:r>
    </w:p>
    <w:p w14:paraId="51F3D70D" w14:textId="77777777" w:rsidR="00B74AE9" w:rsidRDefault="00B74AE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128DE3E5" w14:textId="77777777" w:rsidR="00B74AE9" w:rsidRDefault="00C66D4A" w:rsidP="00C26308">
      <w:pPr>
        <w:spacing w:before="480" w:after="120"/>
        <w:jc w:val="center"/>
        <w:rPr>
          <w:b/>
        </w:rPr>
      </w:pPr>
      <w:r>
        <w:rPr>
          <w:b/>
        </w:rPr>
        <w:t>III. Rozsah a podmínky poskytovaných služeb</w:t>
      </w:r>
    </w:p>
    <w:p w14:paraId="242A684C" w14:textId="183EBC5C" w:rsidR="00B74AE9" w:rsidRDefault="00C66D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K řádnému zajištění fyzické ostrahy střeženého objektu odběratele a výkonu ostatního plnění sjednaného </w:t>
      </w:r>
      <w:r w:rsidR="00493D32">
        <w:rPr>
          <w:color w:val="000000"/>
        </w:rPr>
        <w:t xml:space="preserve">v </w:t>
      </w:r>
      <w:r>
        <w:rPr>
          <w:color w:val="000000"/>
        </w:rPr>
        <w:t>této smlouvě je poskytovatel</w:t>
      </w:r>
      <w:r w:rsidR="00493D32">
        <w:rPr>
          <w:color w:val="000000"/>
        </w:rPr>
        <w:t xml:space="preserve"> </w:t>
      </w:r>
      <w:r w:rsidR="005C4479">
        <w:rPr>
          <w:color w:val="000000"/>
        </w:rPr>
        <w:t>povinen vykonávat</w:t>
      </w:r>
      <w:r w:rsidR="00493D32">
        <w:rPr>
          <w:color w:val="000000"/>
        </w:rPr>
        <w:t xml:space="preserve"> </w:t>
      </w:r>
      <w:r w:rsidR="00C12353">
        <w:rPr>
          <w:color w:val="000000"/>
        </w:rPr>
        <w:t>a plnit</w:t>
      </w:r>
      <w:r>
        <w:rPr>
          <w:color w:val="000000"/>
        </w:rPr>
        <w:t xml:space="preserve"> zejména </w:t>
      </w:r>
      <w:r w:rsidR="00C12353">
        <w:rPr>
          <w:color w:val="000000"/>
        </w:rPr>
        <w:t>tyto</w:t>
      </w:r>
      <w:r>
        <w:rPr>
          <w:color w:val="000000"/>
        </w:rPr>
        <w:t xml:space="preserve"> povinnost</w:t>
      </w:r>
      <w:r w:rsidR="00C12353">
        <w:rPr>
          <w:color w:val="000000"/>
        </w:rPr>
        <w:t>i</w:t>
      </w:r>
      <w:r>
        <w:rPr>
          <w:color w:val="000000"/>
        </w:rPr>
        <w:t>:</w:t>
      </w:r>
    </w:p>
    <w:p w14:paraId="09EFE77B" w14:textId="39CCC84D" w:rsidR="00B74AE9" w:rsidRDefault="00C66D4A" w:rsidP="00C2630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</w:pPr>
      <w:r>
        <w:rPr>
          <w:color w:val="000000"/>
        </w:rPr>
        <w:t xml:space="preserve">aktivní výkon fyzické ostrahy formou vizuálního sledování a kontroly střeženého objektu v rámci opakovaných a </w:t>
      </w:r>
      <w:r w:rsidR="00DA1BD8">
        <w:rPr>
          <w:color w:val="000000"/>
        </w:rPr>
        <w:t>ne</w:t>
      </w:r>
      <w:r>
        <w:rPr>
          <w:color w:val="000000"/>
        </w:rPr>
        <w:t>pravidelných obchůzek střeženého objektu</w:t>
      </w:r>
      <w:r w:rsidR="00241DE2">
        <w:rPr>
          <w:color w:val="000000"/>
        </w:rPr>
        <w:t>;</w:t>
      </w:r>
    </w:p>
    <w:p w14:paraId="5390122E" w14:textId="77777777" w:rsidR="00B74AE9" w:rsidRDefault="00C66D4A" w:rsidP="00C2630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</w:pPr>
      <w:r>
        <w:rPr>
          <w:color w:val="000000"/>
        </w:rPr>
        <w:t>řádné předávání strážní služby mezi jednotlivými směnami střídajících se osob;</w:t>
      </w:r>
    </w:p>
    <w:p w14:paraId="591646E6" w14:textId="002CF244" w:rsidR="00B74AE9" w:rsidRDefault="00C66D4A" w:rsidP="00C2630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</w:pPr>
      <w:r>
        <w:rPr>
          <w:color w:val="000000"/>
        </w:rPr>
        <w:t xml:space="preserve">provádění zápisů do knihy služeb o všech skutečnostech, které jsou ostrahou vyhodnoceny jako neoprávněné narušení střeženého objektu třetí osobou, nebo o skutečnostech, které jsou zjištěny v rámci protipožární, ekologické a hygienické prevence před předáním střeženého objektu ostrahy zástupci </w:t>
      </w:r>
      <w:r w:rsidR="00A273BE">
        <w:rPr>
          <w:color w:val="000000"/>
        </w:rPr>
        <w:t>odběratele</w:t>
      </w:r>
      <w:r>
        <w:rPr>
          <w:color w:val="000000"/>
        </w:rPr>
        <w:t>;</w:t>
      </w:r>
    </w:p>
    <w:p w14:paraId="46AADDBD" w14:textId="5756C855" w:rsidR="00B74AE9" w:rsidRDefault="00C66D4A" w:rsidP="00C2630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</w:pPr>
      <w:r>
        <w:rPr>
          <w:color w:val="000000"/>
        </w:rPr>
        <w:lastRenderedPageBreak/>
        <w:t xml:space="preserve">provádění včasných kvalifikovaných zásahů při narušení střeženého objektu a zajištění informovanosti </w:t>
      </w:r>
      <w:r w:rsidR="00A273BE">
        <w:rPr>
          <w:color w:val="000000"/>
        </w:rPr>
        <w:t xml:space="preserve">odběratele </w:t>
      </w:r>
    </w:p>
    <w:p w14:paraId="39C60031" w14:textId="37505679" w:rsidR="005E508A" w:rsidRPr="00C12353" w:rsidRDefault="00C66D4A" w:rsidP="00C2630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</w:pPr>
      <w:r>
        <w:rPr>
          <w:color w:val="000000"/>
        </w:rPr>
        <w:t>zákaz požívání alkoholických nápojů nebo jiných omamných a psychotropních látek v době výkonu strážní služby.</w:t>
      </w:r>
    </w:p>
    <w:p w14:paraId="0EF73D8A" w14:textId="31F59760" w:rsidR="00C12353" w:rsidRDefault="00C12353" w:rsidP="005E508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>
        <w:t xml:space="preserve">Poskytovatel je povinen zajistit, aby všechny osoby, které používá při poskytování služeb odběrateli dle této smlouvy plnily výše uvedené povinnosti. </w:t>
      </w:r>
    </w:p>
    <w:p w14:paraId="27C35278" w14:textId="63BE3BB4" w:rsidR="00C12353" w:rsidRPr="00C12353" w:rsidRDefault="00C12353" w:rsidP="00C263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t xml:space="preserve">Poskytovatel je povinen při poskytování </w:t>
      </w:r>
      <w:r w:rsidR="00DB0CC7">
        <w:t>služeb odběrateli</w:t>
      </w:r>
      <w:r>
        <w:t xml:space="preserve"> řídit se pokyny odběratele</w:t>
      </w:r>
      <w:r w:rsidR="00DB0CC7">
        <w:t>, zejména týkající se požadavků odběratele na konkrétní výkon služeb, jejich rozsah, četnost apod. Poskytovatel je povinen písemně upozornit odběratele na nevhodnost jeho pokynů</w:t>
      </w:r>
      <w:r w:rsidR="00923742">
        <w:t>, kterou poskytovatel mohl zjistit při vynaložení odborné péče</w:t>
      </w:r>
      <w:r w:rsidR="00DB0CC7">
        <w:t xml:space="preserve">. </w:t>
      </w:r>
    </w:p>
    <w:p w14:paraId="1BF2E9E5" w14:textId="20122FE8" w:rsidR="00B74AE9" w:rsidRDefault="00C66D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Poskytovatel zodpovídá za seznámení osob provádějících ostrahu s místním provozním předpisem střeženého objektu, který je mu povinen předložit odběratel. Místní provozní předpis je </w:t>
      </w:r>
      <w:r w:rsidR="00C12353">
        <w:rPr>
          <w:color w:val="000000"/>
        </w:rPr>
        <w:t xml:space="preserve">odběratel </w:t>
      </w:r>
      <w:r>
        <w:rPr>
          <w:color w:val="000000"/>
        </w:rPr>
        <w:t>povinen písemně předložit poskytovateli a dále jej uložit ve sjednaném místě střeženého objektu tak, aby byl kdykoliv k dispozici poskytovateli. Současně jej dodá poskytovateli i v elektronické podobě.</w:t>
      </w:r>
    </w:p>
    <w:p w14:paraId="5103C2B1" w14:textId="57844D2E" w:rsidR="00B74AE9" w:rsidRDefault="00C66D4A" w:rsidP="00C263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>Povinností poskytovatele je zabezpečení fyzické ostrahy osobami, které jsou v pracovním nebo obdobném poměru k poskytovateli a jsou osobami odborně a fyzicky zdatnými. Je povinností poskytovatele, aby tyto osoby v době výkonu strážní služby měly na sobě služební stejnokroj poskytovatele, identifikační průkaz a příslušnou výzbroj specifikovanou ve směrnici pro výkon služby.</w:t>
      </w:r>
    </w:p>
    <w:p w14:paraId="1850EB9A" w14:textId="337A61E5" w:rsidR="00B74AE9" w:rsidRPr="002A09E9" w:rsidRDefault="00C66D4A" w:rsidP="00C263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</w:rPr>
      </w:pPr>
      <w:r w:rsidRPr="002A09E9">
        <w:rPr>
          <w:color w:val="000000"/>
        </w:rPr>
        <w:t xml:space="preserve">Poskytovatel </w:t>
      </w:r>
      <w:r w:rsidR="00890512" w:rsidRPr="00C26308">
        <w:rPr>
          <w:color w:val="000000"/>
        </w:rPr>
        <w:t>je oprávněn</w:t>
      </w:r>
      <w:r w:rsidRPr="002A09E9">
        <w:rPr>
          <w:color w:val="000000"/>
        </w:rPr>
        <w:t xml:space="preserve"> měnit složení svých zaměstnanců na objektu, pověřených plněním předmětu smlouvy, ovšem tak, aby se s ohledem na bezpečnost </w:t>
      </w:r>
      <w:r w:rsidR="00C10302" w:rsidRPr="002A09E9">
        <w:rPr>
          <w:color w:val="000000"/>
        </w:rPr>
        <w:t xml:space="preserve">odběratele </w:t>
      </w:r>
      <w:r w:rsidRPr="002A09E9">
        <w:rPr>
          <w:color w:val="000000"/>
        </w:rPr>
        <w:t xml:space="preserve">neúčelně nerozšiřoval okruh osob seznámených s technickým zařízením a bezpečnostním režimem v objektu </w:t>
      </w:r>
      <w:r w:rsidR="00C10302" w:rsidRPr="002A09E9">
        <w:rPr>
          <w:color w:val="000000"/>
        </w:rPr>
        <w:t>odběratele</w:t>
      </w:r>
      <w:r w:rsidRPr="002A09E9">
        <w:rPr>
          <w:color w:val="000000"/>
        </w:rPr>
        <w:t>.</w:t>
      </w:r>
    </w:p>
    <w:p w14:paraId="736B2A9D" w14:textId="6CF76D34" w:rsidR="00B74AE9" w:rsidRPr="008B2EC1" w:rsidRDefault="00C66D4A" w:rsidP="00C263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 xml:space="preserve">Poskytovatel se zavazuje za podmínek dále uvedených napojit technologický systém </w:t>
      </w:r>
      <w:r w:rsidR="00C10302">
        <w:rPr>
          <w:color w:val="000000"/>
        </w:rPr>
        <w:t xml:space="preserve">odběratele, </w:t>
      </w:r>
      <w:r w:rsidRPr="008B2EC1">
        <w:rPr>
          <w:color w:val="000000"/>
        </w:rPr>
        <w:t>(dále jen „EZS“) umístěný v</w:t>
      </w:r>
      <w:r w:rsidR="00C10302" w:rsidRPr="008B2EC1">
        <w:rPr>
          <w:color w:val="000000"/>
        </w:rPr>
        <w:t> </w:t>
      </w:r>
      <w:r w:rsidRPr="008B2EC1">
        <w:rPr>
          <w:color w:val="000000"/>
        </w:rPr>
        <w:t>objektu</w:t>
      </w:r>
      <w:r w:rsidR="00C10302" w:rsidRPr="008B2EC1">
        <w:rPr>
          <w:color w:val="000000"/>
        </w:rPr>
        <w:t>,</w:t>
      </w:r>
      <w:r w:rsidRPr="008B2EC1">
        <w:rPr>
          <w:color w:val="000000"/>
        </w:rPr>
        <w:t xml:space="preserve"> (dále jen „střežený objekt“) uvedeném v příloze č. </w:t>
      </w:r>
      <w:r w:rsidR="00585971" w:rsidRPr="008B2EC1">
        <w:rPr>
          <w:color w:val="000000"/>
        </w:rPr>
        <w:t>2</w:t>
      </w:r>
      <w:r w:rsidRPr="008B2EC1">
        <w:rPr>
          <w:color w:val="000000"/>
        </w:rPr>
        <w:t xml:space="preserve"> – </w:t>
      </w:r>
      <w:bookmarkStart w:id="3" w:name="_Hlk111408654"/>
      <w:r w:rsidRPr="008B2EC1">
        <w:rPr>
          <w:color w:val="000000"/>
        </w:rPr>
        <w:t xml:space="preserve">Objektová specifikace </w:t>
      </w:r>
      <w:bookmarkEnd w:id="3"/>
      <w:r w:rsidRPr="008B2EC1">
        <w:rPr>
          <w:color w:val="000000"/>
        </w:rPr>
        <w:t>– na Pult centrální ochrany poskytovatele</w:t>
      </w:r>
      <w:r w:rsidR="00C10302" w:rsidRPr="008B2EC1">
        <w:rPr>
          <w:color w:val="000000"/>
        </w:rPr>
        <w:t>,</w:t>
      </w:r>
      <w:r w:rsidRPr="008B2EC1">
        <w:rPr>
          <w:color w:val="000000"/>
        </w:rPr>
        <w:t xml:space="preserve"> (dále jen „PCO“) a poskytovat </w:t>
      </w:r>
      <w:r w:rsidR="00C10302" w:rsidRPr="008B2EC1">
        <w:rPr>
          <w:color w:val="000000"/>
        </w:rPr>
        <w:t xml:space="preserve">odběrateli </w:t>
      </w:r>
      <w:r w:rsidRPr="008B2EC1">
        <w:rPr>
          <w:color w:val="000000"/>
        </w:rPr>
        <w:t xml:space="preserve">sjednané dále specifikované služby a </w:t>
      </w:r>
      <w:r w:rsidR="00C10302" w:rsidRPr="008B2EC1">
        <w:rPr>
          <w:color w:val="000000"/>
        </w:rPr>
        <w:t xml:space="preserve">odběratel </w:t>
      </w:r>
      <w:r w:rsidRPr="008B2EC1">
        <w:rPr>
          <w:color w:val="000000"/>
        </w:rPr>
        <w:t>se zavazuje za poskytované služby platit poskytovateli sjednanou cenu.</w:t>
      </w:r>
    </w:p>
    <w:p w14:paraId="4104A6E2" w14:textId="6B254EF6" w:rsidR="00B74AE9" w:rsidRPr="00585971" w:rsidRDefault="00C66D4A" w:rsidP="00C263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 w:rsidRPr="008B2EC1">
        <w:rPr>
          <w:color w:val="000000"/>
        </w:rPr>
        <w:t>Konkrétní specifikace EZS a střeženého</w:t>
      </w:r>
      <w:r w:rsidRPr="00585971">
        <w:rPr>
          <w:color w:val="000000"/>
        </w:rPr>
        <w:t xml:space="preserve"> objektu je vždy uvedena jednotlivě v konkrétní Objektové specifikaci vyhotovené a podepsané smluvními stranami pro každý střežený objekt, v němž má být napojen EZS </w:t>
      </w:r>
      <w:r w:rsidR="00C10302" w:rsidRPr="00585971">
        <w:rPr>
          <w:color w:val="000000"/>
        </w:rPr>
        <w:t>odběratele</w:t>
      </w:r>
      <w:r w:rsidRPr="00585971">
        <w:rPr>
          <w:color w:val="000000"/>
        </w:rPr>
        <w:t>. Takto vyhotovená každá objektová specifikace je přílohou této smlouvy a její nedílnou součástí.</w:t>
      </w:r>
    </w:p>
    <w:p w14:paraId="1B6E3E3F" w14:textId="386A44AB" w:rsidR="00923742" w:rsidRDefault="00923742" w:rsidP="003920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>
        <w:rPr>
          <w:color w:val="000000"/>
        </w:rPr>
        <w:t>Poskytovatel je povinen při poskytování služeb dle této smlouvy odběrateli postupovat tak, aby byla v maximální možné míře chráněna práva odběratele a aby byl chráněn majetek odběratele před vznikem škody</w:t>
      </w:r>
    </w:p>
    <w:p w14:paraId="6A82F142" w14:textId="77777777" w:rsidR="00B74AE9" w:rsidRDefault="00C66D4A" w:rsidP="00C26308">
      <w:pPr>
        <w:pStyle w:val="Nadpis1"/>
        <w:spacing w:after="120"/>
      </w:pPr>
      <w:r>
        <w:t>IV. Povinnosti odběratele</w:t>
      </w:r>
    </w:p>
    <w:p w14:paraId="71FBFA45" w14:textId="77777777" w:rsidR="00B74AE9" w:rsidRDefault="00C66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Je povinností odběratele oznámit poskytovateli veškeré jeho záměry a skutečnosti, které by mohly ovlivnit řádný výkon bezpečnostních služeb střeženého objektu odběratele, zejména zda jsou ve střeženém objektu umístěny cennosti, věci kulturní, umělecké, historické nebo sběratelské hodnoty a jaké osoby jsou oprávněny střežený objekt užívat.</w:t>
      </w:r>
    </w:p>
    <w:p w14:paraId="6ABD2957" w14:textId="77777777" w:rsidR="00B74AE9" w:rsidRDefault="00B74AE9">
      <w:pPr>
        <w:spacing w:after="0"/>
        <w:jc w:val="both"/>
      </w:pPr>
    </w:p>
    <w:p w14:paraId="75E7ED9B" w14:textId="77777777" w:rsidR="00B74AE9" w:rsidRDefault="00C66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Zajistit bezplatně a předat písemně poskytovateli dnem účinnosti této smlouvy ve střeženém objektu:</w:t>
      </w:r>
    </w:p>
    <w:p w14:paraId="5D934EF0" w14:textId="77777777" w:rsidR="00B74AE9" w:rsidRDefault="00C66D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jednu uzamykatelnou místnost nebo jiný vhodný prostor pro osoby poskytovatele provádějící fyzickou ostrahu střeženého objektu k zajištění výkonu administrativních činností strážní služby, k uložení výstroje a výzbroje ostrahy, k poskytnutí přípravy a konzumace jídla a pití těchto osob poskytovatele a rovněž odpovídající sociální zařízení;</w:t>
      </w:r>
    </w:p>
    <w:p w14:paraId="38604049" w14:textId="33AFD413" w:rsidR="00B74AE9" w:rsidRDefault="00C66D4A" w:rsidP="00C26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</w:pPr>
      <w:r>
        <w:rPr>
          <w:color w:val="000000"/>
        </w:rPr>
        <w:t>přístup k dodávkám elektrické energie (220 V) pro nabíjení baterií zařízení nezbytných pro plnění dle této smlouvy.</w:t>
      </w:r>
    </w:p>
    <w:p w14:paraId="5F8F0A82" w14:textId="77777777" w:rsidR="00B74AE9" w:rsidRDefault="00C66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Je povinností odběratele činit vše nutné pro to, aby nedošlo ke škodě na jeho majetku, a to v rámci prevence nejen dle příslušných právních předpisů, ale dle zvyklostí obvyklých podle druhu a hodnoty majetku, který je střežen, a účelu, popř. činnosti odběratele, ke kterému střežený majetek </w:t>
      </w:r>
      <w:proofErr w:type="gramStart"/>
      <w:r>
        <w:rPr>
          <w:color w:val="000000"/>
        </w:rPr>
        <w:t>slouží</w:t>
      </w:r>
      <w:proofErr w:type="gramEnd"/>
      <w:r>
        <w:rPr>
          <w:color w:val="000000"/>
        </w:rPr>
        <w:t>. V případě, že dojde k jakékoliv změně ohledně zabezpečení střeženého objektu a majetku v něm umístěného, je o tomto odběratel povinen neprodleně informovat písemně poskytovatele.</w:t>
      </w:r>
    </w:p>
    <w:p w14:paraId="0D92FCD7" w14:textId="77777777" w:rsidR="00B74AE9" w:rsidRDefault="00B74AE9">
      <w:pPr>
        <w:spacing w:after="0"/>
      </w:pPr>
    </w:p>
    <w:p w14:paraId="5AFA6EE3" w14:textId="77777777" w:rsidR="00B74AE9" w:rsidRDefault="00C66D4A" w:rsidP="00C26308">
      <w:pPr>
        <w:pStyle w:val="Nadpis1"/>
        <w:spacing w:after="120"/>
      </w:pPr>
      <w:r>
        <w:t>V. Odpovědnost za majetkovou újmu</w:t>
      </w:r>
    </w:p>
    <w:p w14:paraId="5808768B" w14:textId="5E70BD4E" w:rsidR="00B74AE9" w:rsidRDefault="00C66D4A" w:rsidP="00C263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 xml:space="preserve">Poskytovatel odpovídá odběrateli za škodu jemu prokazatelně způsobenou a zaviněnou porušením povinností </w:t>
      </w:r>
      <w:r w:rsidR="0038593B">
        <w:rPr>
          <w:color w:val="000000"/>
        </w:rPr>
        <w:t xml:space="preserve">poskytovatele </w:t>
      </w:r>
      <w:r>
        <w:rPr>
          <w:color w:val="000000"/>
        </w:rPr>
        <w:t xml:space="preserve">vyplývajících z této smlouvy. </w:t>
      </w:r>
    </w:p>
    <w:p w14:paraId="2673B3E2" w14:textId="77777777" w:rsidR="00B74AE9" w:rsidRDefault="00C66D4A" w:rsidP="00C263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>Poskytovatel neodpovídá za materiální škody na střeženém objektu a na movitém majetku odběratele, který je předmětem ochrany dle této smlouvy, způsobené osobami poskytovatele provádějícími ostrahu nebo jinými osobami poskytovatelem pověřenými při přiměřeném a kvalifikovaném zásahu proti neoprávněnému narušiteli střeženého objektu souvisejícím s odvracením hrozící škody a/nebo pokud vzniku této škody nemohl zabránit.</w:t>
      </w:r>
    </w:p>
    <w:p w14:paraId="0E2A9096" w14:textId="7A7E8AF7" w:rsidR="00B74AE9" w:rsidRDefault="00C66D4A" w:rsidP="00C263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>Poskytovatel neodpovídá za případnou škodu vzniklou odběrateli, která byla způsobena nevhodnými požadavky či pokyny odběratele, jestliže poskytovatel na nevhodnost pokynů písemně upozornil a odběratel na jejich dodržení trval, nebo jestliže tuto nevhodnost nemohl poskytovatel zjistit</w:t>
      </w:r>
      <w:r w:rsidR="00923742">
        <w:rPr>
          <w:color w:val="000000"/>
        </w:rPr>
        <w:t xml:space="preserve"> ani při vynaložení odborné péče</w:t>
      </w:r>
      <w:r>
        <w:rPr>
          <w:color w:val="000000"/>
        </w:rPr>
        <w:t>.</w:t>
      </w:r>
    </w:p>
    <w:p w14:paraId="7FE1C00F" w14:textId="77777777" w:rsidR="00B74AE9" w:rsidRDefault="00C66D4A" w:rsidP="00C263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 xml:space="preserve">Odběratel při vzniku škody na střeženém objektu nebo majetku v něm umístněném je povinen neprodleně informovat příslušné oddělení Policie ČR a určeného pracovníka poskytovatele dle Směrnice pro výkon služby. </w:t>
      </w:r>
    </w:p>
    <w:p w14:paraId="04B92AA0" w14:textId="646A295B" w:rsidR="00B74AE9" w:rsidRDefault="00C66D4A" w:rsidP="00C263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 xml:space="preserve">Uplatňuje-li odběratel za porušení smluvní povinnosti poskytovatelem náhradu škody vůči poskytovateli, je povinen ji uplatnit písemně ve lhůtě </w:t>
      </w:r>
      <w:r w:rsidR="001F7767">
        <w:rPr>
          <w:color w:val="000000"/>
        </w:rPr>
        <w:t xml:space="preserve">šedesáti </w:t>
      </w:r>
      <w:r>
        <w:rPr>
          <w:color w:val="000000"/>
        </w:rPr>
        <w:t>(</w:t>
      </w:r>
      <w:r w:rsidR="001F7767">
        <w:rPr>
          <w:color w:val="000000"/>
        </w:rPr>
        <w:t>6</w:t>
      </w:r>
      <w:r>
        <w:rPr>
          <w:color w:val="000000"/>
        </w:rPr>
        <w:t>0) dnů od vzniku škody</w:t>
      </w:r>
      <w:r w:rsidR="001F7767">
        <w:rPr>
          <w:color w:val="000000"/>
        </w:rPr>
        <w:t>. P</w:t>
      </w:r>
      <w:r>
        <w:rPr>
          <w:color w:val="000000"/>
        </w:rPr>
        <w:t xml:space="preserve">ožadavek </w:t>
      </w:r>
      <w:r w:rsidR="001F7767">
        <w:rPr>
          <w:color w:val="000000"/>
        </w:rPr>
        <w:t xml:space="preserve">na náhradu škody </w:t>
      </w:r>
      <w:r>
        <w:rPr>
          <w:color w:val="000000"/>
        </w:rPr>
        <w:t>musí obsahovat zejména tyto údaje:</w:t>
      </w:r>
    </w:p>
    <w:p w14:paraId="4EA4EC87" w14:textId="57C167E4" w:rsidR="00B74AE9" w:rsidRDefault="00C66D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den a způsob vzniku škody;</w:t>
      </w:r>
    </w:p>
    <w:p w14:paraId="2812DDEC" w14:textId="77777777" w:rsidR="00B74AE9" w:rsidRDefault="00C66D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předběžný odhad výše škody;</w:t>
      </w:r>
    </w:p>
    <w:p w14:paraId="76D86945" w14:textId="77777777" w:rsidR="00B74AE9" w:rsidRDefault="00C66D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pravděpodobnou příčinu vzniku škody;</w:t>
      </w:r>
    </w:p>
    <w:p w14:paraId="674B614B" w14:textId="77777777" w:rsidR="00B74AE9" w:rsidRDefault="00C66D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které oddělení Policie ČR událost </w:t>
      </w:r>
      <w:proofErr w:type="gramStart"/>
      <w:r>
        <w:rPr>
          <w:color w:val="000000"/>
        </w:rPr>
        <w:t>šetří</w:t>
      </w:r>
      <w:proofErr w:type="gramEnd"/>
      <w:r>
        <w:rPr>
          <w:color w:val="000000"/>
        </w:rPr>
        <w:t>;</w:t>
      </w:r>
    </w:p>
    <w:p w14:paraId="51E0635F" w14:textId="77777777" w:rsidR="00B74AE9" w:rsidRDefault="00C66D4A" w:rsidP="00C263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</w:pPr>
      <w:r>
        <w:rPr>
          <w:color w:val="000000"/>
        </w:rPr>
        <w:t>v čem odběratel spatřuje odpovědnost poskytovatele za vznik škody a porušení jeho povinnosti.</w:t>
      </w:r>
    </w:p>
    <w:p w14:paraId="479131D8" w14:textId="21DAE551" w:rsidR="00B74AE9" w:rsidRDefault="00C66D4A" w:rsidP="00C263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 xml:space="preserve">Pokud se odběratel oprávněně domnívá, že osoby vykonávající ochranné bezpečnostní služby v konkrétním případě nejednaly nebo neplnily povinnosti v souladu se smlouvou, je povinen vyrozumět o tom písemně poskytovatele bez zbytečného odkladu, nejpozději však do </w:t>
      </w:r>
      <w:r w:rsidR="001F7767">
        <w:rPr>
          <w:color w:val="000000"/>
        </w:rPr>
        <w:t xml:space="preserve">třiceti </w:t>
      </w:r>
      <w:r>
        <w:rPr>
          <w:color w:val="000000"/>
        </w:rPr>
        <w:t xml:space="preserve">(30) </w:t>
      </w:r>
      <w:r>
        <w:rPr>
          <w:color w:val="000000"/>
        </w:rPr>
        <w:lastRenderedPageBreak/>
        <w:t>dnů ode dne takového jednání. Pokud daným jednáním či porušením vznikla škoda odběrateli, je odběratel povinen tuto skutečnost oznámit poskytovateli ve stejné lhůtě</w:t>
      </w:r>
      <w:r w:rsidR="001F7767">
        <w:rPr>
          <w:color w:val="000000"/>
        </w:rPr>
        <w:t xml:space="preserve">. </w:t>
      </w:r>
    </w:p>
    <w:p w14:paraId="3B043DE7" w14:textId="17204768" w:rsidR="00B74AE9" w:rsidRDefault="00C66D4A" w:rsidP="00C263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 xml:space="preserve">Poskytovatel má uzavřené pojištění odpovědnosti za škodu způsobenou svojí činností včetně pojištění odpovědnosti za převoz finanční hotovosti do výše </w:t>
      </w:r>
      <w:r w:rsidR="00516C94">
        <w:rPr>
          <w:color w:val="000000"/>
        </w:rPr>
        <w:t>30</w:t>
      </w:r>
      <w:r>
        <w:rPr>
          <w:color w:val="000000"/>
        </w:rPr>
        <w:t xml:space="preserve"> mil. korun. Případné vzniklé škody způsobené odběrateli prokazatelně v důsledku zaviněného porušení právní povinnosti vyplývající z nekvalitního výkonu sjednaného plnění poskytovatelem dle této smlouvy bude odběrateli hrazena náhrada plněním z pojistné smlouvy. </w:t>
      </w:r>
    </w:p>
    <w:p w14:paraId="02BF5505" w14:textId="77777777" w:rsidR="00B74AE9" w:rsidRDefault="00C66D4A" w:rsidP="00C263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>Za porušení právních povinností poskytovatele nebo za neplnění sjednaných povinností dle této smlouvy se nepovažuje marné úsilí poskytovatele v zadržení narušitele střeženého objektu odběratele.</w:t>
      </w:r>
    </w:p>
    <w:p w14:paraId="31BF2040" w14:textId="77777777" w:rsidR="00B74AE9" w:rsidRDefault="00C66D4A">
      <w:pPr>
        <w:pStyle w:val="Nadpis1"/>
      </w:pPr>
      <w:r>
        <w:t>VI. Cena a platební podmínky</w:t>
      </w:r>
    </w:p>
    <w:p w14:paraId="0C45137D" w14:textId="4C601827" w:rsidR="00B74AE9" w:rsidRDefault="00C66D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Odměna sjednaná dohodou smluvních stran za sjednané plnění poskytovatelem odběrateli dle této smlouvy je cena služby, která je předmětem této smlouvy, včetně platebních podmínek, stanovena takto: </w:t>
      </w:r>
    </w:p>
    <w:p w14:paraId="010206DA" w14:textId="1D8B72ED" w:rsidR="00AE7E49" w:rsidRDefault="00AE7E49" w:rsidP="00C263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6799"/>
        <w:gridCol w:w="1913"/>
      </w:tblGrid>
      <w:tr w:rsidR="00AE7E49" w:rsidRPr="004417FE" w14:paraId="651D57BC" w14:textId="77777777" w:rsidTr="00963ED4">
        <w:trPr>
          <w:trHeight w:val="658"/>
          <w:jc w:val="right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45CD7A9D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26308">
              <w:rPr>
                <w:rFonts w:asciiTheme="majorHAnsi" w:hAnsiTheme="majorHAnsi" w:cstheme="majorHAnsi"/>
                <w:b/>
                <w:bCs/>
              </w:rPr>
              <w:t>Název položky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76E5B352" w14:textId="2313A624" w:rsidR="00AE7E49" w:rsidRPr="00C26308" w:rsidRDefault="004417FE" w:rsidP="00C2129D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26308">
              <w:rPr>
                <w:rFonts w:asciiTheme="majorHAnsi" w:hAnsiTheme="majorHAnsi" w:cstheme="majorHAnsi"/>
                <w:b/>
                <w:bCs/>
              </w:rPr>
              <w:t>Cena</w:t>
            </w:r>
            <w:r w:rsidR="00963ED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AE7E49" w:rsidRPr="004417FE" w14:paraId="777ADCB3" w14:textId="77777777" w:rsidTr="00963ED4">
        <w:trPr>
          <w:jc w:val="right"/>
        </w:trPr>
        <w:tc>
          <w:tcPr>
            <w:tcW w:w="6799" w:type="dxa"/>
            <w:tcBorders>
              <w:bottom w:val="double" w:sz="4" w:space="0" w:color="auto"/>
            </w:tcBorders>
          </w:tcPr>
          <w:p w14:paraId="31BBA662" w14:textId="77777777" w:rsidR="00AE7E49" w:rsidRPr="006B4412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B4412">
              <w:rPr>
                <w:rFonts w:asciiTheme="majorHAnsi" w:hAnsiTheme="majorHAnsi" w:cstheme="majorHAnsi"/>
                <w:b/>
                <w:bCs/>
              </w:rPr>
              <w:t>Hodinová sazba na jednoho strážného vč. veškerých příplatků</w:t>
            </w: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14:paraId="06EAC456" w14:textId="1308A3DE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AE7E49" w:rsidRPr="004417FE" w14:paraId="672BE199" w14:textId="77777777" w:rsidTr="00963ED4">
        <w:trPr>
          <w:jc w:val="right"/>
        </w:trPr>
        <w:tc>
          <w:tcPr>
            <w:tcW w:w="6799" w:type="dxa"/>
            <w:tcBorders>
              <w:top w:val="double" w:sz="4" w:space="0" w:color="auto"/>
            </w:tcBorders>
          </w:tcPr>
          <w:p w14:paraId="3F71A77A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C26308">
              <w:rPr>
                <w:rFonts w:asciiTheme="majorHAnsi" w:hAnsiTheme="majorHAnsi" w:cstheme="majorHAnsi"/>
              </w:rPr>
              <w:t>Platba za měsíční monitorování objektů</w:t>
            </w:r>
            <w:r w:rsidRPr="00C26308">
              <w:rPr>
                <w:rFonts w:asciiTheme="majorHAnsi" w:hAnsiTheme="majorHAnsi" w:cstheme="majorHAnsi"/>
                <w:b/>
              </w:rPr>
              <w:t xml:space="preserve"> – 6 objektů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14:paraId="0632D541" w14:textId="404B86EA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AE7E49" w:rsidRPr="004417FE" w14:paraId="7DD42805" w14:textId="77777777" w:rsidTr="00963ED4">
        <w:trPr>
          <w:jc w:val="right"/>
        </w:trPr>
        <w:tc>
          <w:tcPr>
            <w:tcW w:w="6799" w:type="dxa"/>
          </w:tcPr>
          <w:p w14:paraId="197A9342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C26308">
              <w:rPr>
                <w:rFonts w:asciiTheme="majorHAnsi" w:hAnsiTheme="majorHAnsi" w:cstheme="majorHAnsi"/>
              </w:rPr>
              <w:t xml:space="preserve">Platba za dokonaný výjezd na signál TÍSEŃ </w:t>
            </w:r>
          </w:p>
        </w:tc>
        <w:tc>
          <w:tcPr>
            <w:tcW w:w="1913" w:type="dxa"/>
          </w:tcPr>
          <w:p w14:paraId="0E701B4E" w14:textId="2C838A03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AE7E49" w:rsidRPr="004417FE" w14:paraId="598D5C34" w14:textId="77777777" w:rsidTr="00963ED4">
        <w:trPr>
          <w:jc w:val="right"/>
        </w:trPr>
        <w:tc>
          <w:tcPr>
            <w:tcW w:w="6799" w:type="dxa"/>
          </w:tcPr>
          <w:p w14:paraId="4F1039DB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C26308">
              <w:rPr>
                <w:rFonts w:asciiTheme="majorHAnsi" w:hAnsiTheme="majorHAnsi" w:cstheme="majorHAnsi"/>
              </w:rPr>
              <w:t>Platba za měsíční komunikaci EZS s PCO</w:t>
            </w:r>
          </w:p>
        </w:tc>
        <w:tc>
          <w:tcPr>
            <w:tcW w:w="1913" w:type="dxa"/>
          </w:tcPr>
          <w:p w14:paraId="3C887215" w14:textId="4D52681C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AE7E49" w:rsidRPr="004417FE" w14:paraId="567A970E" w14:textId="77777777" w:rsidTr="00963ED4">
        <w:trPr>
          <w:jc w:val="right"/>
        </w:trPr>
        <w:tc>
          <w:tcPr>
            <w:tcW w:w="6799" w:type="dxa"/>
          </w:tcPr>
          <w:p w14:paraId="1F172929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C26308">
              <w:rPr>
                <w:rFonts w:asciiTheme="majorHAnsi" w:hAnsiTheme="majorHAnsi" w:cstheme="majorHAnsi"/>
              </w:rPr>
              <w:t xml:space="preserve">Platba za dokonaný výjezd zásahové hlídky na poplach </w:t>
            </w:r>
          </w:p>
        </w:tc>
        <w:tc>
          <w:tcPr>
            <w:tcW w:w="1913" w:type="dxa"/>
          </w:tcPr>
          <w:p w14:paraId="5692BD72" w14:textId="6D70DDE6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AE7E49" w:rsidRPr="004417FE" w14:paraId="2252F9A1" w14:textId="77777777" w:rsidTr="00963ED4">
        <w:trPr>
          <w:jc w:val="right"/>
        </w:trPr>
        <w:tc>
          <w:tcPr>
            <w:tcW w:w="6799" w:type="dxa"/>
          </w:tcPr>
          <w:p w14:paraId="3801C95B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C26308">
              <w:rPr>
                <w:rFonts w:asciiTheme="majorHAnsi" w:hAnsiTheme="majorHAnsi" w:cstheme="majorHAnsi"/>
              </w:rPr>
              <w:t>Platba za marný výjezd zásahové hlídky</w:t>
            </w:r>
          </w:p>
        </w:tc>
        <w:tc>
          <w:tcPr>
            <w:tcW w:w="1913" w:type="dxa"/>
          </w:tcPr>
          <w:p w14:paraId="379676A9" w14:textId="1DFDB7B1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AE7E49" w:rsidRPr="004417FE" w14:paraId="6DF9B41F" w14:textId="77777777" w:rsidTr="00963ED4">
        <w:trPr>
          <w:jc w:val="right"/>
        </w:trPr>
        <w:tc>
          <w:tcPr>
            <w:tcW w:w="6799" w:type="dxa"/>
          </w:tcPr>
          <w:p w14:paraId="643F4CDC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C26308">
              <w:rPr>
                <w:rFonts w:asciiTheme="majorHAnsi" w:hAnsiTheme="majorHAnsi" w:cstheme="majorHAnsi"/>
              </w:rPr>
              <w:t>Platba za dokonaný výjezd nad rámec sjednané služby</w:t>
            </w:r>
          </w:p>
        </w:tc>
        <w:tc>
          <w:tcPr>
            <w:tcW w:w="1913" w:type="dxa"/>
          </w:tcPr>
          <w:p w14:paraId="6B7476AD" w14:textId="297CD3F3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AE7E49" w:rsidRPr="004417FE" w14:paraId="1778C692" w14:textId="77777777" w:rsidTr="00963ED4">
        <w:trPr>
          <w:jc w:val="right"/>
        </w:trPr>
        <w:tc>
          <w:tcPr>
            <w:tcW w:w="6799" w:type="dxa"/>
          </w:tcPr>
          <w:p w14:paraId="1F7FEB0C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C26308">
              <w:rPr>
                <w:rFonts w:asciiTheme="majorHAnsi" w:hAnsiTheme="majorHAnsi" w:cstheme="majorHAnsi"/>
              </w:rPr>
              <w:t>Platba za fyzické střežení objektu v případě narušení – 1 hodina á</w:t>
            </w:r>
          </w:p>
        </w:tc>
        <w:tc>
          <w:tcPr>
            <w:tcW w:w="1913" w:type="dxa"/>
          </w:tcPr>
          <w:p w14:paraId="0968E07D" w14:textId="34DBD22B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AE7E49" w:rsidRPr="004417FE" w14:paraId="682CD786" w14:textId="77777777" w:rsidTr="00963ED4">
        <w:trPr>
          <w:trHeight w:val="142"/>
          <w:jc w:val="right"/>
        </w:trPr>
        <w:tc>
          <w:tcPr>
            <w:tcW w:w="6799" w:type="dxa"/>
          </w:tcPr>
          <w:p w14:paraId="0F669A7F" w14:textId="77777777" w:rsidR="00AE7E49" w:rsidRPr="00C26308" w:rsidRDefault="00AE7E49" w:rsidP="00C2129D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C26308">
              <w:rPr>
                <w:rFonts w:asciiTheme="majorHAnsi" w:hAnsiTheme="majorHAnsi" w:cstheme="majorHAnsi"/>
              </w:rPr>
              <w:t>Cena za připojení a střežení objektu na PCO – měsíční platba</w:t>
            </w:r>
          </w:p>
        </w:tc>
        <w:tc>
          <w:tcPr>
            <w:tcW w:w="1913" w:type="dxa"/>
          </w:tcPr>
          <w:p w14:paraId="6E41AA3D" w14:textId="701A7AA2" w:rsidR="00AE7E49" w:rsidRPr="00C26308" w:rsidRDefault="00C26308" w:rsidP="00C26308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,-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</w:tbl>
    <w:p w14:paraId="048559D1" w14:textId="77777777" w:rsidR="00B74AE9" w:rsidRDefault="00B74AE9">
      <w:pPr>
        <w:spacing w:after="0"/>
        <w:jc w:val="both"/>
      </w:pPr>
    </w:p>
    <w:p w14:paraId="0AD363FF" w14:textId="502BAAB9" w:rsidR="00B74AE9" w:rsidRDefault="00C66D4A" w:rsidP="00C263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color w:val="000000"/>
        </w:rPr>
      </w:pPr>
      <w:r>
        <w:rPr>
          <w:color w:val="000000"/>
        </w:rPr>
        <w:t>Všechny ceny v této smlouvě uvedené jsou bez DPH, přičemž poskytovatel v rámci měsíčního vyúčtování ceny poskytnutého plnění ceny účtuje s platnou sazbou DPH. Vyúčtování poskytnutého plnění provádí poskytovatel po skončení příslušného kalendářního měsíce, a to na základě souhrnné faktury doručené odběrateli. Splatnost faktury za plnění v konkrétním kalendářním měsíci je dohodou smluvních stran stanovena na</w:t>
      </w:r>
      <w:r>
        <w:rPr>
          <w:b/>
          <w:color w:val="000000"/>
        </w:rPr>
        <w:t xml:space="preserve"> 30</w:t>
      </w:r>
      <w:r>
        <w:rPr>
          <w:color w:val="000000"/>
        </w:rPr>
        <w:t xml:space="preserve"> dnů ode dne vystavení faktury, a to na účet poskytovatele</w:t>
      </w:r>
      <w:r w:rsidR="00A264CC">
        <w:rPr>
          <w:color w:val="000000"/>
        </w:rPr>
        <w:t xml:space="preserve"> č.</w:t>
      </w:r>
      <w:r w:rsidR="000D11A6">
        <w:rPr>
          <w:color w:val="000000"/>
        </w:rPr>
        <w:t xml:space="preserve"> </w:t>
      </w:r>
      <w:r w:rsidR="000D11A6" w:rsidRPr="00C26308">
        <w:rPr>
          <w:color w:val="000000"/>
          <w:highlight w:val="lightGray"/>
        </w:rPr>
        <w:t>_________</w:t>
      </w:r>
      <w:r w:rsidR="000D11A6">
        <w:rPr>
          <w:color w:val="000000"/>
        </w:rPr>
        <w:t xml:space="preserve"> </w:t>
      </w:r>
      <w:r>
        <w:rPr>
          <w:color w:val="000000"/>
        </w:rPr>
        <w:t xml:space="preserve">vedený u </w:t>
      </w:r>
      <w:r w:rsidR="000D11A6" w:rsidRPr="00C26308">
        <w:rPr>
          <w:color w:val="000000"/>
          <w:highlight w:val="lightGray"/>
        </w:rPr>
        <w:t>_________</w:t>
      </w:r>
      <w:r>
        <w:rPr>
          <w:color w:val="000000"/>
        </w:rPr>
        <w:t xml:space="preserve">. Cena se považuje za uhrazenou dnem </w:t>
      </w:r>
      <w:r w:rsidR="00A264CC">
        <w:rPr>
          <w:color w:val="000000"/>
        </w:rPr>
        <w:t>odepsání částky z účtu odběratele ve prospěch</w:t>
      </w:r>
      <w:r>
        <w:rPr>
          <w:color w:val="000000"/>
        </w:rPr>
        <w:t xml:space="preserve"> účt</w:t>
      </w:r>
      <w:r w:rsidR="00A264CC">
        <w:rPr>
          <w:color w:val="000000"/>
        </w:rPr>
        <w:t>u</w:t>
      </w:r>
      <w:r>
        <w:rPr>
          <w:color w:val="000000"/>
        </w:rPr>
        <w:t xml:space="preserve"> poskytovatele.</w:t>
      </w:r>
    </w:p>
    <w:p w14:paraId="333F94D0" w14:textId="280F810A" w:rsidR="00446432" w:rsidRDefault="004464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Poskytovatel prohlašuje, že cena sjednaná dle této smlouvy je sjednána jako nejvýše přípustná a nepřekročitelná. Poskytovatel dále prohlašuje, že cena sjednaná dle této smlouvy zahrnuje veškeré náklady poskytovatele související s plněním služeb dle této smlouvy, zejména mzdoví náklady, náklady na spotřební materiál, ošacení zaměstnanců, dopravu apod., dále že cena zahrnuje i zisk poskytovatele se zohledněním předvídatelných podnikatelských rizik. </w:t>
      </w:r>
    </w:p>
    <w:p w14:paraId="75D63306" w14:textId="77777777" w:rsidR="00446432" w:rsidRDefault="00446432" w:rsidP="0044643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790C3D04" w14:textId="1341B866" w:rsidR="00B74AE9" w:rsidRDefault="00C66D4A" w:rsidP="00C263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lastRenderedPageBreak/>
        <w:t>Smluvní strany prohlašují, pokud v průběhu plnění této smlouvy dojde změnou</w:t>
      </w:r>
      <w:r w:rsidR="000D11A6">
        <w:t xml:space="preserve"> </w:t>
      </w:r>
      <w:r>
        <w:t>příslušných právních předpisů ke zvýšení minimální zaručené mzdy v příslušné skupině prací,</w:t>
      </w:r>
      <w:r w:rsidR="000D11A6">
        <w:t xml:space="preserve"> </w:t>
      </w:r>
      <w:r>
        <w:t xml:space="preserve">ve které zaměstnanci poskytovatele vykonávají svou činnost pro realizaci plnění dle této smlouvy, může být sjednáno zvýšení ceny služeb ve stejném poměru, v jakém došlo k nárůstu minimální mzdy stanovené příslušnými obecně závaznými právními předpisy, které upravují minimální mzdu, a to vždy od 1.dne měsíce následujícího po dni, kdy zvýšení minimální mzdy nabylo účinnosti. </w:t>
      </w:r>
    </w:p>
    <w:p w14:paraId="09CDA03A" w14:textId="77777777" w:rsidR="00B74AE9" w:rsidRDefault="00C66D4A" w:rsidP="00C263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>Odběratel souhlasí s elektronickou podobou fakturace.  Odběratel potvrzuje e-mailovou adresu pro zasílání elektronických faktur miluse.prokopova@nemcl.cz.</w:t>
      </w:r>
    </w:p>
    <w:p w14:paraId="030C411C" w14:textId="5B4BD5F4" w:rsidR="00B74AE9" w:rsidRDefault="00C66D4A" w:rsidP="00C263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b/>
          <w:color w:val="000000"/>
        </w:rPr>
      </w:pPr>
      <w:r>
        <w:rPr>
          <w:b/>
          <w:color w:val="000000"/>
        </w:rPr>
        <w:t xml:space="preserve">Veškeré poskytované plnění dle této smlouvy ze strany poskytovatele je prováděno v rámci náhradního plnění dle § 81 zákona č. 435/2004 Sb., o zaměstnanosti, v platném znění na základě smluvní rezervace náhradního plnění ze strany </w:t>
      </w:r>
      <w:r w:rsidR="002001C1">
        <w:rPr>
          <w:b/>
          <w:color w:val="000000"/>
        </w:rPr>
        <w:t>odběratele</w:t>
      </w:r>
      <w:r>
        <w:rPr>
          <w:b/>
          <w:color w:val="000000"/>
        </w:rPr>
        <w:t>.</w:t>
      </w:r>
    </w:p>
    <w:p w14:paraId="082A7E3B" w14:textId="77777777" w:rsidR="00B74AE9" w:rsidRDefault="00C66D4A" w:rsidP="00C26308">
      <w:pPr>
        <w:pStyle w:val="Nadpis1"/>
        <w:spacing w:after="120"/>
      </w:pPr>
      <w:r>
        <w:t>VII. Kontaktní osoby</w:t>
      </w:r>
    </w:p>
    <w:p w14:paraId="6F495EA7" w14:textId="77777777" w:rsidR="00B74AE9" w:rsidRDefault="00C66D4A">
      <w:pPr>
        <w:spacing w:after="0"/>
      </w:pPr>
      <w:r>
        <w:t>Kontaktními osobami a kontakty odběratele pro zajištění součinnosti s poskytovatelem jsou:</w:t>
      </w:r>
    </w:p>
    <w:p w14:paraId="6CC11929" w14:textId="77777777" w:rsidR="00B74AE9" w:rsidRDefault="00B74AE9">
      <w:pPr>
        <w:spacing w:after="0"/>
      </w:pPr>
    </w:p>
    <w:tbl>
      <w:tblPr>
        <w:tblStyle w:val="a0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4"/>
        <w:gridCol w:w="2216"/>
        <w:gridCol w:w="4737"/>
      </w:tblGrid>
      <w:tr w:rsidR="00B74AE9" w14:paraId="29F5D757" w14:textId="77777777" w:rsidTr="0032507A">
        <w:trPr>
          <w:trHeight w:val="524"/>
        </w:trPr>
        <w:tc>
          <w:tcPr>
            <w:tcW w:w="2174" w:type="dxa"/>
          </w:tcPr>
          <w:p w14:paraId="46EF3AB2" w14:textId="77777777" w:rsidR="00B74AE9" w:rsidRPr="00C26308" w:rsidRDefault="00C66D4A">
            <w:pPr>
              <w:rPr>
                <w:b/>
                <w:bCs/>
              </w:rPr>
            </w:pPr>
            <w:r w:rsidRPr="00C26308">
              <w:rPr>
                <w:b/>
                <w:bCs/>
              </w:rPr>
              <w:t>Za poskytovatele:</w:t>
            </w:r>
          </w:p>
        </w:tc>
        <w:tc>
          <w:tcPr>
            <w:tcW w:w="2216" w:type="dxa"/>
          </w:tcPr>
          <w:p w14:paraId="62ABA1CB" w14:textId="77777777" w:rsidR="00B74AE9" w:rsidRDefault="00C66D4A">
            <w:r>
              <w:t>ve věcech smluvních</w:t>
            </w:r>
          </w:p>
        </w:tc>
        <w:tc>
          <w:tcPr>
            <w:tcW w:w="4737" w:type="dxa"/>
          </w:tcPr>
          <w:p w14:paraId="6D6ACE7F" w14:textId="075BD4A0" w:rsidR="00B74AE9" w:rsidRDefault="000D11A6">
            <w:r>
              <w:t xml:space="preserve"> </w:t>
            </w:r>
            <w:r w:rsidRPr="00C26308">
              <w:rPr>
                <w:highlight w:val="lightGray"/>
              </w:rPr>
              <w:t>_____________</w:t>
            </w:r>
          </w:p>
          <w:p w14:paraId="3580D19A" w14:textId="2774961C" w:rsidR="00B74AE9" w:rsidRDefault="000D11A6">
            <w:r>
              <w:t xml:space="preserve"> </w:t>
            </w:r>
            <w:r w:rsidR="00C66D4A">
              <w:t>tel.: +420</w:t>
            </w:r>
            <w:r w:rsidRPr="00C26308">
              <w:rPr>
                <w:highlight w:val="lightGray"/>
              </w:rPr>
              <w:t>_____________</w:t>
            </w:r>
          </w:p>
        </w:tc>
      </w:tr>
      <w:tr w:rsidR="00B74AE9" w14:paraId="3F4B2EC5" w14:textId="77777777" w:rsidTr="00C26308">
        <w:trPr>
          <w:trHeight w:val="582"/>
        </w:trPr>
        <w:tc>
          <w:tcPr>
            <w:tcW w:w="2174" w:type="dxa"/>
          </w:tcPr>
          <w:p w14:paraId="5752E8A4" w14:textId="77777777" w:rsidR="00B74AE9" w:rsidRDefault="00B74AE9"/>
        </w:tc>
        <w:tc>
          <w:tcPr>
            <w:tcW w:w="2216" w:type="dxa"/>
          </w:tcPr>
          <w:p w14:paraId="22B3B2B9" w14:textId="77777777" w:rsidR="00B74AE9" w:rsidRDefault="00C66D4A">
            <w:r>
              <w:t>ve věcech technických</w:t>
            </w:r>
          </w:p>
        </w:tc>
        <w:tc>
          <w:tcPr>
            <w:tcW w:w="4737" w:type="dxa"/>
          </w:tcPr>
          <w:p w14:paraId="7D318C9A" w14:textId="469DEB8B" w:rsidR="000D11A6" w:rsidRDefault="000D11A6" w:rsidP="000D11A6">
            <w:r>
              <w:rPr>
                <w:highlight w:val="lightGray"/>
              </w:rPr>
              <w:t xml:space="preserve"> </w:t>
            </w:r>
            <w:r w:rsidRPr="003C0F78">
              <w:rPr>
                <w:highlight w:val="lightGray"/>
              </w:rPr>
              <w:t>_____________</w:t>
            </w:r>
          </w:p>
          <w:p w14:paraId="7DE11763" w14:textId="7E3B3C1C" w:rsidR="00B74AE9" w:rsidRDefault="000D11A6">
            <w:r>
              <w:t xml:space="preserve"> tel.: +420</w:t>
            </w:r>
            <w:r w:rsidRPr="003C0F78">
              <w:rPr>
                <w:highlight w:val="lightGray"/>
              </w:rPr>
              <w:t>_____________</w:t>
            </w:r>
          </w:p>
        </w:tc>
      </w:tr>
      <w:tr w:rsidR="00B74AE9" w14:paraId="2880359F" w14:textId="77777777" w:rsidTr="00C26308">
        <w:trPr>
          <w:trHeight w:val="906"/>
        </w:trPr>
        <w:tc>
          <w:tcPr>
            <w:tcW w:w="2174" w:type="dxa"/>
          </w:tcPr>
          <w:p w14:paraId="424E1482" w14:textId="77777777" w:rsidR="00B74AE9" w:rsidRDefault="00B74AE9"/>
        </w:tc>
        <w:tc>
          <w:tcPr>
            <w:tcW w:w="2216" w:type="dxa"/>
          </w:tcPr>
          <w:p w14:paraId="48758A01" w14:textId="77777777" w:rsidR="00B74AE9" w:rsidRDefault="00C66D4A">
            <w:r>
              <w:t>ve věcech provozních</w:t>
            </w:r>
          </w:p>
        </w:tc>
        <w:tc>
          <w:tcPr>
            <w:tcW w:w="4737" w:type="dxa"/>
          </w:tcPr>
          <w:p w14:paraId="19DA8BA5" w14:textId="5AE9A333" w:rsidR="000D11A6" w:rsidRDefault="000D11A6" w:rsidP="000D11A6">
            <w:r>
              <w:rPr>
                <w:highlight w:val="lightGray"/>
              </w:rPr>
              <w:t xml:space="preserve"> </w:t>
            </w:r>
            <w:r w:rsidRPr="003C0F78">
              <w:rPr>
                <w:highlight w:val="lightGray"/>
              </w:rPr>
              <w:t>_____________</w:t>
            </w:r>
          </w:p>
          <w:p w14:paraId="60E3EACE" w14:textId="1B0A29D0" w:rsidR="000D11A6" w:rsidRDefault="000D11A6" w:rsidP="000D11A6">
            <w:r>
              <w:t xml:space="preserve"> tel.: +420</w:t>
            </w:r>
            <w:r w:rsidRPr="003C0F78">
              <w:rPr>
                <w:highlight w:val="lightGray"/>
              </w:rPr>
              <w:t>_____________</w:t>
            </w:r>
          </w:p>
          <w:p w14:paraId="00873757" w14:textId="106AC9CA" w:rsidR="000D11A6" w:rsidRDefault="000D11A6" w:rsidP="000D11A6">
            <w:r>
              <w:t xml:space="preserve"> E-mail: </w:t>
            </w:r>
            <w:r w:rsidRPr="00C26308">
              <w:rPr>
                <w:highlight w:val="lightGray"/>
              </w:rPr>
              <w:t>__________</w:t>
            </w:r>
            <w:r>
              <w:t>@</w:t>
            </w:r>
            <w:r w:rsidRPr="00C26308">
              <w:rPr>
                <w:highlight w:val="lightGray"/>
              </w:rPr>
              <w:t>_________</w:t>
            </w:r>
          </w:p>
          <w:p w14:paraId="50E97D7E" w14:textId="77777777" w:rsidR="00B74AE9" w:rsidRDefault="00B74AE9"/>
        </w:tc>
      </w:tr>
      <w:tr w:rsidR="00B74AE9" w14:paraId="3A6C56A3" w14:textId="77777777" w:rsidTr="0032507A">
        <w:trPr>
          <w:trHeight w:val="524"/>
        </w:trPr>
        <w:tc>
          <w:tcPr>
            <w:tcW w:w="2174" w:type="dxa"/>
          </w:tcPr>
          <w:p w14:paraId="5995EF59" w14:textId="77777777" w:rsidR="00B74AE9" w:rsidRPr="00C26308" w:rsidRDefault="00C66D4A">
            <w:pPr>
              <w:rPr>
                <w:b/>
                <w:bCs/>
              </w:rPr>
            </w:pPr>
            <w:r w:rsidRPr="00C26308">
              <w:rPr>
                <w:b/>
                <w:bCs/>
              </w:rPr>
              <w:t>Za odběratele:</w:t>
            </w:r>
          </w:p>
        </w:tc>
        <w:tc>
          <w:tcPr>
            <w:tcW w:w="2216" w:type="dxa"/>
          </w:tcPr>
          <w:p w14:paraId="680C1A52" w14:textId="77777777" w:rsidR="00B74AE9" w:rsidRDefault="00C66D4A">
            <w:r>
              <w:t>ve věcech smluvních</w:t>
            </w:r>
          </w:p>
        </w:tc>
        <w:tc>
          <w:tcPr>
            <w:tcW w:w="4737" w:type="dxa"/>
          </w:tcPr>
          <w:p w14:paraId="45FDF995" w14:textId="77777777" w:rsidR="0032507A" w:rsidRDefault="00C66D4A">
            <w:r>
              <w:t>Ing.</w:t>
            </w:r>
            <w:r w:rsidR="0032507A">
              <w:t xml:space="preserve"> </w:t>
            </w:r>
            <w:r>
              <w:t>Pavel Marek,</w:t>
            </w:r>
            <w:r w:rsidR="0032507A">
              <w:t xml:space="preserve"> </w:t>
            </w:r>
            <w:r>
              <w:t xml:space="preserve">předseda </w:t>
            </w:r>
            <w:r w:rsidR="0032507A">
              <w:t>představenstva</w:t>
            </w:r>
          </w:p>
          <w:p w14:paraId="335AB8B2" w14:textId="16C2B09B" w:rsidR="00B74AE9" w:rsidRDefault="0032507A">
            <w:r>
              <w:t xml:space="preserve">tel.+420 </w:t>
            </w:r>
            <w:r w:rsidR="00C66D4A">
              <w:t>739 520 320</w:t>
            </w:r>
          </w:p>
        </w:tc>
      </w:tr>
      <w:tr w:rsidR="00B74AE9" w14:paraId="5D7B0745" w14:textId="77777777" w:rsidTr="0032507A">
        <w:trPr>
          <w:trHeight w:val="539"/>
        </w:trPr>
        <w:tc>
          <w:tcPr>
            <w:tcW w:w="2174" w:type="dxa"/>
          </w:tcPr>
          <w:p w14:paraId="69447A1D" w14:textId="77777777" w:rsidR="00B74AE9" w:rsidRDefault="00B74AE9"/>
        </w:tc>
        <w:tc>
          <w:tcPr>
            <w:tcW w:w="2216" w:type="dxa"/>
          </w:tcPr>
          <w:p w14:paraId="030D8EA5" w14:textId="77777777" w:rsidR="00B74AE9" w:rsidRDefault="00C66D4A">
            <w:r>
              <w:t>ve věcech technických</w:t>
            </w:r>
          </w:p>
        </w:tc>
        <w:tc>
          <w:tcPr>
            <w:tcW w:w="4737" w:type="dxa"/>
          </w:tcPr>
          <w:p w14:paraId="553C7F5D" w14:textId="77777777" w:rsidR="0032507A" w:rsidRDefault="00C66D4A">
            <w:r>
              <w:t>Jan Mencl,</w:t>
            </w:r>
            <w:r w:rsidR="0032507A">
              <w:t xml:space="preserve"> </w:t>
            </w:r>
            <w:r>
              <w:t>DiS,</w:t>
            </w:r>
            <w:r w:rsidR="0032507A">
              <w:t xml:space="preserve"> </w:t>
            </w:r>
            <w:r>
              <w:t>technický a provozní ředitel</w:t>
            </w:r>
          </w:p>
          <w:p w14:paraId="3A25F6D4" w14:textId="4BE96E62" w:rsidR="00B74AE9" w:rsidRDefault="00C66D4A">
            <w:r>
              <w:t xml:space="preserve">tel. </w:t>
            </w:r>
            <w:r w:rsidR="0032507A">
              <w:t xml:space="preserve">+420 </w:t>
            </w:r>
            <w:r>
              <w:t>702 128 138,</w:t>
            </w:r>
            <w:r w:rsidR="0032507A">
              <w:t xml:space="preserve"> </w:t>
            </w:r>
            <w:r>
              <w:t>email:</w:t>
            </w:r>
            <w:r w:rsidR="0032507A">
              <w:t xml:space="preserve"> </w:t>
            </w:r>
            <w:r>
              <w:t>jan.mencl@nemcl.cz</w:t>
            </w:r>
          </w:p>
        </w:tc>
      </w:tr>
      <w:tr w:rsidR="00B74AE9" w14:paraId="0C31F909" w14:textId="77777777" w:rsidTr="0032507A">
        <w:trPr>
          <w:trHeight w:val="524"/>
        </w:trPr>
        <w:tc>
          <w:tcPr>
            <w:tcW w:w="2174" w:type="dxa"/>
          </w:tcPr>
          <w:p w14:paraId="53D2D442" w14:textId="77777777" w:rsidR="00B74AE9" w:rsidRDefault="00B74AE9"/>
        </w:tc>
        <w:tc>
          <w:tcPr>
            <w:tcW w:w="2216" w:type="dxa"/>
          </w:tcPr>
          <w:p w14:paraId="5A25BAEC" w14:textId="77777777" w:rsidR="00B74AE9" w:rsidRDefault="00C66D4A">
            <w:r>
              <w:t xml:space="preserve">ve věcech provozních            </w:t>
            </w:r>
          </w:p>
        </w:tc>
        <w:tc>
          <w:tcPr>
            <w:tcW w:w="4737" w:type="dxa"/>
          </w:tcPr>
          <w:p w14:paraId="7480CC7E" w14:textId="460215E0" w:rsidR="00B74AE9" w:rsidRDefault="00C66D4A">
            <w:r>
              <w:t>Lenka Kadlečková,</w:t>
            </w:r>
            <w:r w:rsidR="0032507A">
              <w:t xml:space="preserve"> </w:t>
            </w:r>
            <w:r>
              <w:t>vedoucí technické a provozní podpory,</w:t>
            </w:r>
            <w:r w:rsidR="0032507A">
              <w:t xml:space="preserve"> </w:t>
            </w:r>
            <w:r>
              <w:t>tel.</w:t>
            </w:r>
            <w:r w:rsidR="0032507A">
              <w:t xml:space="preserve">+420 </w:t>
            </w:r>
            <w:r>
              <w:t>739 500 466, email:</w:t>
            </w:r>
            <w:r w:rsidR="0032507A">
              <w:t xml:space="preserve"> </w:t>
            </w:r>
            <w:r>
              <w:t xml:space="preserve">lenka.kadleckova@nemcl.cz                                      </w:t>
            </w:r>
          </w:p>
        </w:tc>
      </w:tr>
    </w:tbl>
    <w:p w14:paraId="433A3DFE" w14:textId="77777777" w:rsidR="00B74AE9" w:rsidRDefault="00C66D4A" w:rsidP="00C26308">
      <w:pPr>
        <w:spacing w:before="480" w:after="120" w:line="240" w:lineRule="auto"/>
        <w:jc w:val="center"/>
        <w:rPr>
          <w:b/>
        </w:rPr>
      </w:pPr>
      <w:r>
        <w:rPr>
          <w:b/>
        </w:rPr>
        <w:t>VIII. Doba trvání smlouvy</w:t>
      </w:r>
    </w:p>
    <w:p w14:paraId="545744FE" w14:textId="286A099A" w:rsidR="00B74AE9" w:rsidRDefault="0032507A" w:rsidP="00C263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>Smlouva</w:t>
      </w:r>
      <w:r w:rsidRPr="0032507A">
        <w:rPr>
          <w:color w:val="000000"/>
        </w:rPr>
        <w:t xml:space="preserve"> se uzavírá na dobu určitou v trvání čtyř (4) roků počítaných ode dne účinnosti této </w:t>
      </w:r>
      <w:r>
        <w:rPr>
          <w:color w:val="000000"/>
        </w:rPr>
        <w:t>smlouvy</w:t>
      </w:r>
      <w:r w:rsidRPr="0032507A">
        <w:rPr>
          <w:color w:val="000000"/>
        </w:rPr>
        <w:t>.</w:t>
      </w:r>
      <w:r w:rsidR="00B1472E">
        <w:rPr>
          <w:color w:val="000000"/>
        </w:rPr>
        <w:t xml:space="preserve"> </w:t>
      </w:r>
    </w:p>
    <w:p w14:paraId="5CBB4DEF" w14:textId="6D34A2B9" w:rsidR="00756376" w:rsidRPr="00756376" w:rsidRDefault="00B1472E" w:rsidP="00C263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 xml:space="preserve">Poskytovatel </w:t>
      </w:r>
      <w:r w:rsidR="00756376">
        <w:rPr>
          <w:color w:val="000000"/>
        </w:rPr>
        <w:t xml:space="preserve">je oprávněn písemně vypovědět tuto smlouvy v případě, že je odběratel v prodlení se zaplacením odměny poskytovatele delším než 60 dnů. Výpovědní doba činí 3 měsíce a </w:t>
      </w:r>
      <w:proofErr w:type="gramStart"/>
      <w:r w:rsidR="00756376">
        <w:rPr>
          <w:color w:val="000000"/>
        </w:rPr>
        <w:t>běží</w:t>
      </w:r>
      <w:proofErr w:type="gramEnd"/>
      <w:r w:rsidR="00756376">
        <w:rPr>
          <w:color w:val="000000"/>
        </w:rPr>
        <w:t xml:space="preserve"> od prvního dne měsíce následujícího po doručení výpovědi. Poskytovatel je oprávněn písemně vypovědět tuto smlouvu v případě, že odběratel neplní povinnosti podle čl. IV. odst. 2 této smlouvy, a to ani na základě písemné výzvy poskytovatele k nápravě, ve které je poskytovatel </w:t>
      </w:r>
      <w:r w:rsidR="00756376">
        <w:rPr>
          <w:color w:val="000000"/>
        </w:rPr>
        <w:lastRenderedPageBreak/>
        <w:t xml:space="preserve">povinen stanovit lhůtu k nápravě, která nesmí být kratší než 15 dnů od doručení písemné výzvy k nápravě. V takovém případě činí výpovědní lhůta 1 měsíc od doručení písemné výpovědi. </w:t>
      </w:r>
    </w:p>
    <w:p w14:paraId="5CCCDCEA" w14:textId="5620D7E6" w:rsidR="00B74AE9" w:rsidRDefault="00756376" w:rsidP="00C263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 xml:space="preserve">Odběratel je oprávněn </w:t>
      </w:r>
      <w:r w:rsidR="00844D57">
        <w:rPr>
          <w:color w:val="000000"/>
        </w:rPr>
        <w:t xml:space="preserve">písemně </w:t>
      </w:r>
      <w:r>
        <w:rPr>
          <w:color w:val="000000"/>
        </w:rPr>
        <w:t xml:space="preserve">vypovědět tuto smlouvu v případě, že poskytovatel </w:t>
      </w:r>
      <w:r w:rsidR="00844D57">
        <w:rPr>
          <w:color w:val="000000"/>
        </w:rPr>
        <w:t xml:space="preserve">porušuje povinnosti podle této smlouvy a jejích příloh závažným způsobem nebo opakovaně. Za závažné porušení povinností se považuje zejména, nikoliv však výlučně prodlení s poskytováním služeb dle této smlouvy, např. prodlení s dojezdem hlídky poskytovatele ve stanoveném čase, neprovádění obchůzek apod. Za opakované porušení smlouvy se považuje, pokud poskytovatel </w:t>
      </w:r>
      <w:proofErr w:type="gramStart"/>
      <w:r w:rsidR="00844D57">
        <w:rPr>
          <w:color w:val="000000"/>
        </w:rPr>
        <w:t>poruší</w:t>
      </w:r>
      <w:proofErr w:type="gramEnd"/>
      <w:r w:rsidR="00844D57">
        <w:rPr>
          <w:color w:val="000000"/>
        </w:rPr>
        <w:t xml:space="preserve"> stejnou povinnost nejméně 2 za dobu 24 měsíců. Výpovědní doba činí jeden měsíc. Odběratel je oprávněn písemně vypovědět tuto smlouvy i bez uvedení důvodů. V takovém případě činí výpovědní doba 3 měsíce a počíná běžet od doručení výpovědi poskytovateli.  </w:t>
      </w:r>
    </w:p>
    <w:p w14:paraId="1F232C55" w14:textId="4D6DA3EA" w:rsidR="00B74AE9" w:rsidRPr="00E22D05" w:rsidRDefault="00C66D4A" w:rsidP="00C263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rPr>
          <w:color w:val="000000"/>
        </w:rPr>
        <w:t>Smluvní strany si sjednávají smluvní úrok z prodlení za každý den ve výši 0,05% nesplacené částky v případě prodlení odběratele s jakýmkoliv peněžním závazkem vyplývajícím z této smlouvy.</w:t>
      </w:r>
    </w:p>
    <w:p w14:paraId="02363209" w14:textId="2647EA47" w:rsidR="00E22D05" w:rsidRDefault="00E22D05" w:rsidP="00C263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>
        <w:t xml:space="preserve">V případě porušení povinností poskytovatele podle této smlouvy je odběratel oprávněn požadovat </w:t>
      </w:r>
      <w:r w:rsidR="000709A4">
        <w:t xml:space="preserve">po poskytovateli </w:t>
      </w:r>
      <w:r>
        <w:t>zaplacení smluvní pokuty ve výši 5</w:t>
      </w:r>
      <w:r w:rsidR="000D11A6">
        <w:t xml:space="preserve"> </w:t>
      </w:r>
      <w:r>
        <w:t>%</w:t>
      </w:r>
      <w:r w:rsidR="000709A4">
        <w:t xml:space="preserve"> z průměrné měsíční odměny poskytovatele za každý případ porušení povinností</w:t>
      </w:r>
      <w:r w:rsidR="003C4A8F">
        <w:t xml:space="preserve"> a za každou porušenou povinnost</w:t>
      </w:r>
      <w:r w:rsidR="000709A4">
        <w:t xml:space="preserve">. Průměrná měsíční odměna poskytovatele se zjistí jako aritmetický průměr měsíčních odměn zaplacených odběratelem poskytovateli za 3 měsíce předcházející měsíci, ve kterém došlo k porušení povinností poskytovatele zakládajících nárok na smluvní pokutu. Zaplacením smluvní pokuty není dotčen nárok odběratele na náhradu škody. V případě, že nárok na zaplacení smluvní pokuty vznikne v době kratší než 3 měsíce od podpisu smlouvy, bude průměrná měsíční odměna poskytovatele vypočtena jako aritmetický průměr měsíčních odměn zaplacených poskytovateli za celou dobu trvání smlouvy. </w:t>
      </w:r>
    </w:p>
    <w:p w14:paraId="23688B01" w14:textId="77777777" w:rsidR="00B74AE9" w:rsidRDefault="00C66D4A" w:rsidP="00C26308">
      <w:pPr>
        <w:pStyle w:val="Nadpis1"/>
        <w:spacing w:after="120"/>
      </w:pPr>
      <w:r>
        <w:t>IX. Závěrečná ustanovení</w:t>
      </w:r>
    </w:p>
    <w:p w14:paraId="0834FC9C" w14:textId="7B095CFC" w:rsidR="00B74AE9" w:rsidRPr="00421359" w:rsidRDefault="00C66D4A" w:rsidP="00421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5"/>
        <w:jc w:val="both"/>
      </w:pPr>
      <w:r>
        <w:rPr>
          <w:color w:val="000000"/>
        </w:rPr>
        <w:t xml:space="preserve">Je závazkem obou smluvních stran zachovat mlčenlivost o všech skutečnostech, o kterých se dozví v souvislosti s plněním povinností dle této smlouvy, a to i po dobu tří let od ukončení její platnosti.  </w:t>
      </w:r>
    </w:p>
    <w:p w14:paraId="41D5C255" w14:textId="7F2F7C67" w:rsidR="00421359" w:rsidRPr="00421359" w:rsidRDefault="00421359" w:rsidP="0042135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</w:pPr>
      <w:r w:rsidRPr="00421359">
        <w:t>Poskytovatel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objednatel.</w:t>
      </w:r>
      <w:r w:rsidR="003C4A8F" w:rsidRPr="003C4A8F">
        <w:rPr>
          <w:color w:val="000000"/>
        </w:rPr>
        <w:t xml:space="preserve"> </w:t>
      </w:r>
      <w:r w:rsidR="003C4A8F">
        <w:rPr>
          <w:color w:val="000000"/>
        </w:rPr>
        <w:t>Poskytovatel prohlašuje, že žádné ujednání obsažené v této smlouvě nepovažuje za obchodní tajemství nebo jinou skutečnost, která splňuje výjimku pro neuveřejnění smlouvy, resp. její části, v registru smluv.</w:t>
      </w:r>
    </w:p>
    <w:p w14:paraId="31412E7A" w14:textId="6F86869D" w:rsidR="00421359" w:rsidRDefault="00421359" w:rsidP="0042135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</w:pPr>
      <w:r w:rsidRPr="00421359">
        <w:t xml:space="preserve">Tato Smlouva nabývá platnosti dnem jejího podpisu oprávněnými zástupci obou smluvních stran. Smlouva nabývá účinnosti dnem zveřejnění v registru smluv.  </w:t>
      </w:r>
    </w:p>
    <w:p w14:paraId="640B37A6" w14:textId="237F2209" w:rsidR="00B74AE9" w:rsidRDefault="00C66D4A" w:rsidP="00421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5"/>
        <w:jc w:val="both"/>
      </w:pPr>
      <w:r>
        <w:rPr>
          <w:color w:val="00000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 Výraz připouštějící různý výklad použitý poprvé některou ze smluvních stran, nelze vykládat k tíži takové smluvní strany, ledaže druhá smluvní strana při jednání na možnost různého výkladu upozornila a první smluvní strana na jeho použití přesto </w:t>
      </w:r>
      <w:r>
        <w:rPr>
          <w:color w:val="000000"/>
        </w:rPr>
        <w:lastRenderedPageBreak/>
        <w:t>trvala.</w:t>
      </w:r>
      <w:r w:rsidR="003C4A8F">
        <w:rPr>
          <w:color w:val="000000"/>
        </w:rPr>
        <w:t xml:space="preserve"> Pro vyloučení všech pochybností se na tento smluvní vztah neuplatní žádné všeobecné obchodní ani jiné podmínky poskytovatele. </w:t>
      </w:r>
    </w:p>
    <w:p w14:paraId="731BEC73" w14:textId="57F4D520" w:rsidR="00B74AE9" w:rsidRPr="003C4A8F" w:rsidRDefault="00C66D4A" w:rsidP="00421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Vztahy neupravené touto smlouvou se řídí příslušnými ustanoveními Občanského zákoníku. </w:t>
      </w:r>
      <w:r w:rsidR="003C4A8F">
        <w:rPr>
          <w:color w:val="000000"/>
        </w:rPr>
        <w:t xml:space="preserve">Poskytovatel na sebe přebírá nebezpečí změny okolností ve smyslu </w:t>
      </w:r>
      <w:r w:rsidR="003C4A8F" w:rsidRPr="003C4A8F">
        <w:rPr>
          <w:color w:val="000000"/>
        </w:rPr>
        <w:t>§ 1765 odst. 2 občanského zákoníku</w:t>
      </w:r>
      <w:r w:rsidR="003C4A8F">
        <w:rPr>
          <w:color w:val="000000"/>
        </w:rPr>
        <w:t>.</w:t>
      </w:r>
      <w:r>
        <w:rPr>
          <w:color w:val="000000"/>
        </w:rPr>
        <w:t xml:space="preserve">    </w:t>
      </w:r>
    </w:p>
    <w:p w14:paraId="0296FB44" w14:textId="77777777" w:rsidR="00B74AE9" w:rsidRDefault="00C66D4A" w:rsidP="00421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</w:pPr>
      <w:r>
        <w:rPr>
          <w:color w:val="000000"/>
        </w:rPr>
        <w:t xml:space="preserve">Tato smlouva je vyhotovena ve dvou stejnopisech s platností originálu, přičemž každá ze smluvních stran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po jednom vyhotovení.</w:t>
      </w:r>
    </w:p>
    <w:p w14:paraId="1A959A3A" w14:textId="54B01101" w:rsidR="00B74AE9" w:rsidRDefault="00C66D4A" w:rsidP="00421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</w:pPr>
      <w:r>
        <w:rPr>
          <w:color w:val="000000"/>
        </w:rPr>
        <w:t>Tuto smlouvu lze měnit a doplňovat pouze formou písemného, oboustranně odsouhlaseného číslovaného dodatku. Změny této smlouvy v jiné formě, než si smluvní strany sjednaly, smluvní strany vylučují.</w:t>
      </w:r>
      <w:r w:rsidR="003C4A8F">
        <w:rPr>
          <w:color w:val="000000"/>
        </w:rPr>
        <w:t xml:space="preserve"> Pro vyloučení pochybností se smluvní strany dohodly, že pro účely změn smlouvy se za písemnou formu považuje pouze forma listinná a jiné formy nejsou pro strany závazné. </w:t>
      </w:r>
    </w:p>
    <w:p w14:paraId="3D8164B4" w14:textId="77777777" w:rsidR="00B74AE9" w:rsidRDefault="00C66D4A" w:rsidP="00421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</w:pPr>
      <w:r>
        <w:rPr>
          <w:color w:val="000000"/>
        </w:rPr>
        <w:t>Smluvní strany této smlouvy po jejím přečtení výslovně prohlašují, že si ji před podpisem řádně přečetly, že s jejím obsahem souhlasí, že tato smlouva neobsahuje omezení či vyloučení práv ani jedné ze smluvních stran v postavení slabší strany a že byla uzavřena po vzájemném projednání, podle jejich svobodné a pravé vůle, vážně a srozumitelně, nikoliv v tísni a za nápadně nevýhodných podmínek pro jednu ze stran. Na důkaz toho připojují své vlastnoruční podpisy.</w:t>
      </w:r>
    </w:p>
    <w:p w14:paraId="00ABE6DC" w14:textId="77777777" w:rsidR="00B74AE9" w:rsidRDefault="00B74AE9">
      <w:pPr>
        <w:spacing w:after="0"/>
        <w:jc w:val="both"/>
      </w:pPr>
    </w:p>
    <w:p w14:paraId="5A961A62" w14:textId="4121AD50" w:rsidR="00C70E8B" w:rsidRPr="00C26308" w:rsidRDefault="00C70E8B" w:rsidP="00C26308">
      <w:pPr>
        <w:pStyle w:val="odraky1"/>
        <w:keepNext/>
        <w:spacing w:before="0"/>
        <w:rPr>
          <w:rFonts w:ascii="Calibri" w:hAnsi="Calibri" w:cs="Calibri"/>
          <w:strike/>
          <w:szCs w:val="22"/>
        </w:rPr>
      </w:pPr>
      <w:r w:rsidRPr="00C70E8B">
        <w:rPr>
          <w:rFonts w:ascii="Calibri" w:hAnsi="Calibri" w:cs="Calibri"/>
          <w:b/>
          <w:bCs/>
          <w:szCs w:val="22"/>
        </w:rPr>
        <w:t>Nedílnou součást Smlouvy tvoří tyto přílohy:</w:t>
      </w:r>
    </w:p>
    <w:p w14:paraId="4B7EF84B" w14:textId="7186DD51" w:rsidR="00C70E8B" w:rsidRDefault="00C70E8B" w:rsidP="00C70E8B">
      <w:pPr>
        <w:pStyle w:val="odraky1"/>
        <w:numPr>
          <w:ilvl w:val="0"/>
          <w:numId w:val="14"/>
        </w:num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Příloha č. </w:t>
      </w:r>
      <w:r w:rsidR="00585971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: Směrnice pro výkon fyzické ostrahy</w:t>
      </w:r>
      <w:r w:rsidR="00475943">
        <w:rPr>
          <w:rFonts w:ascii="Calibri" w:hAnsi="Calibri" w:cs="Calibri"/>
          <w:szCs w:val="22"/>
        </w:rPr>
        <w:t xml:space="preserve"> </w:t>
      </w:r>
      <w:r w:rsidR="00475943" w:rsidRPr="00894269">
        <w:rPr>
          <w:rFonts w:ascii="Calibri" w:hAnsi="Calibri" w:cs="Calibri"/>
          <w:i/>
          <w:iCs/>
          <w:color w:val="FF0000"/>
          <w:szCs w:val="22"/>
        </w:rPr>
        <w:t>(</w:t>
      </w:r>
      <w:r w:rsidR="00894269">
        <w:rPr>
          <w:rFonts w:ascii="Calibri" w:hAnsi="Calibri" w:cs="Calibri"/>
          <w:i/>
          <w:iCs/>
          <w:color w:val="FF0000"/>
          <w:szCs w:val="22"/>
        </w:rPr>
        <w:t>v</w:t>
      </w:r>
      <w:r w:rsidR="00894269" w:rsidRPr="00894269">
        <w:rPr>
          <w:rFonts w:ascii="Calibri" w:hAnsi="Calibri" w:cs="Calibri"/>
          <w:i/>
          <w:iCs/>
          <w:color w:val="FF0000"/>
          <w:szCs w:val="22"/>
        </w:rPr>
        <w:t>ybraný dodavatel před podpisem smlouvy předloží zpracovanou směrnici pro výkon strážní služby</w:t>
      </w:r>
      <w:r w:rsidR="00475943" w:rsidRPr="00894269">
        <w:rPr>
          <w:rFonts w:ascii="Calibri" w:hAnsi="Calibri" w:cs="Calibri"/>
          <w:i/>
          <w:iCs/>
          <w:color w:val="FF0000"/>
          <w:szCs w:val="22"/>
        </w:rPr>
        <w:t>)</w:t>
      </w:r>
    </w:p>
    <w:p w14:paraId="7A57360F" w14:textId="1923E019" w:rsidR="00516C94" w:rsidRPr="00925C90" w:rsidRDefault="00516C94" w:rsidP="00C70E8B">
      <w:pPr>
        <w:pStyle w:val="odraky1"/>
        <w:numPr>
          <w:ilvl w:val="0"/>
          <w:numId w:val="14"/>
        </w:numPr>
        <w:spacing w:before="0"/>
        <w:rPr>
          <w:rFonts w:ascii="Calibri" w:hAnsi="Calibri" w:cs="Calibri"/>
          <w:color w:val="FF0000"/>
          <w:szCs w:val="22"/>
        </w:rPr>
      </w:pPr>
      <w:r w:rsidRPr="003A27A7">
        <w:rPr>
          <w:rFonts w:ascii="Calibri" w:hAnsi="Calibri" w:cs="Calibri"/>
          <w:szCs w:val="22"/>
        </w:rPr>
        <w:t xml:space="preserve">Příloha č. </w:t>
      </w:r>
      <w:r w:rsidR="00585971">
        <w:rPr>
          <w:rFonts w:ascii="Calibri" w:hAnsi="Calibri" w:cs="Calibri"/>
          <w:szCs w:val="22"/>
        </w:rPr>
        <w:t>2</w:t>
      </w:r>
      <w:r w:rsidRPr="003A27A7">
        <w:rPr>
          <w:rFonts w:ascii="Calibri" w:hAnsi="Calibri" w:cs="Calibri"/>
          <w:szCs w:val="22"/>
        </w:rPr>
        <w:t>: Objektová specifikace</w:t>
      </w:r>
      <w:r w:rsidR="00475943">
        <w:rPr>
          <w:rFonts w:ascii="Calibri" w:hAnsi="Calibri" w:cs="Calibri"/>
          <w:szCs w:val="22"/>
        </w:rPr>
        <w:t xml:space="preserve"> </w:t>
      </w:r>
      <w:r w:rsidR="00475943" w:rsidRPr="00925C90">
        <w:rPr>
          <w:rFonts w:ascii="Calibri" w:hAnsi="Calibri" w:cs="Calibri"/>
          <w:color w:val="FF0000"/>
          <w:szCs w:val="22"/>
        </w:rPr>
        <w:t>(</w:t>
      </w:r>
      <w:r w:rsidR="008A204B" w:rsidRPr="00925C90">
        <w:rPr>
          <w:rFonts w:ascii="Calibri" w:hAnsi="Calibri" w:cs="Calibri"/>
          <w:color w:val="FF0000"/>
          <w:szCs w:val="22"/>
        </w:rPr>
        <w:t xml:space="preserve">bude zpracováno </w:t>
      </w:r>
      <w:r w:rsidR="00925C90" w:rsidRPr="00925C90">
        <w:rPr>
          <w:rFonts w:ascii="Calibri" w:hAnsi="Calibri" w:cs="Calibri"/>
          <w:color w:val="FF0000"/>
          <w:szCs w:val="22"/>
        </w:rPr>
        <w:t>před podpisem smlouvy dle přílohy</w:t>
      </w:r>
      <w:r w:rsidR="008A204B" w:rsidRPr="00925C90">
        <w:rPr>
          <w:rFonts w:ascii="Calibri" w:hAnsi="Calibri" w:cs="Calibri"/>
          <w:color w:val="FF0000"/>
          <w:szCs w:val="22"/>
        </w:rPr>
        <w:t xml:space="preserve"> </w:t>
      </w:r>
      <w:r w:rsidR="008A204B" w:rsidRPr="00925C90">
        <w:rPr>
          <w:rFonts w:ascii="Calibri" w:hAnsi="Calibri" w:cs="Calibri"/>
          <w:color w:val="FF0000"/>
          <w:szCs w:val="22"/>
        </w:rPr>
        <w:t>č.6 těchto ZP</w:t>
      </w:r>
      <w:r w:rsidR="00475943" w:rsidRPr="00925C90">
        <w:rPr>
          <w:rFonts w:ascii="Calibri" w:hAnsi="Calibri" w:cs="Calibri"/>
          <w:color w:val="FF0000"/>
          <w:szCs w:val="22"/>
        </w:rPr>
        <w:t>)</w:t>
      </w:r>
    </w:p>
    <w:p w14:paraId="2BBDA27D" w14:textId="04909C95" w:rsidR="00516C94" w:rsidRDefault="00516C94" w:rsidP="00C70E8B">
      <w:pPr>
        <w:pStyle w:val="odraky1"/>
        <w:numPr>
          <w:ilvl w:val="0"/>
          <w:numId w:val="14"/>
        </w:num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Příloha č. </w:t>
      </w:r>
      <w:r w:rsidR="00585971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: Certifikát pojistné smlouvy</w:t>
      </w:r>
      <w:r w:rsidR="00513A88">
        <w:rPr>
          <w:rFonts w:ascii="Calibri" w:hAnsi="Calibri" w:cs="Calibri"/>
          <w:szCs w:val="22"/>
        </w:rPr>
        <w:t xml:space="preserve"> </w:t>
      </w:r>
      <w:r w:rsidR="00513A88" w:rsidRPr="00045273">
        <w:rPr>
          <w:rFonts w:ascii="Calibri" w:hAnsi="Calibri" w:cs="Calibri"/>
          <w:color w:val="FF0000"/>
          <w:szCs w:val="22"/>
        </w:rPr>
        <w:t>(</w:t>
      </w:r>
      <w:r w:rsidR="00045273">
        <w:rPr>
          <w:rFonts w:ascii="Calibri" w:hAnsi="Calibri" w:cs="Calibri"/>
          <w:i/>
          <w:iCs/>
          <w:color w:val="FF0000"/>
          <w:szCs w:val="22"/>
        </w:rPr>
        <w:t>d</w:t>
      </w:r>
      <w:r w:rsidR="00513A88" w:rsidRPr="00045273">
        <w:rPr>
          <w:rFonts w:ascii="Calibri" w:hAnsi="Calibri" w:cs="Calibri"/>
          <w:i/>
          <w:iCs/>
          <w:color w:val="FF0000"/>
          <w:szCs w:val="22"/>
        </w:rPr>
        <w:t>oklady o pojištění v rozsahu dle článku 5 návrhu smlouvy</w:t>
      </w:r>
      <w:r w:rsidR="00513A88" w:rsidRPr="00045273">
        <w:rPr>
          <w:rFonts w:ascii="Calibri" w:hAnsi="Calibri" w:cs="Calibri"/>
          <w:color w:val="FF0000"/>
          <w:szCs w:val="22"/>
        </w:rPr>
        <w:t>)</w:t>
      </w:r>
    </w:p>
    <w:p w14:paraId="56098A87" w14:textId="32417FDD" w:rsidR="0031179F" w:rsidRDefault="0031179F" w:rsidP="00C70E8B">
      <w:pPr>
        <w:pStyle w:val="odraky1"/>
        <w:numPr>
          <w:ilvl w:val="0"/>
          <w:numId w:val="14"/>
        </w:numPr>
        <w:spacing w:befor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Příloha č.</w:t>
      </w:r>
      <w:r w:rsidR="00513A88">
        <w:rPr>
          <w:rFonts w:ascii="Calibri" w:hAnsi="Calibri" w:cs="Calibri"/>
          <w:szCs w:val="22"/>
        </w:rPr>
        <w:t xml:space="preserve"> </w:t>
      </w:r>
      <w:r w:rsidR="00585971">
        <w:rPr>
          <w:rFonts w:ascii="Calibri" w:hAnsi="Calibri" w:cs="Calibri"/>
          <w:szCs w:val="22"/>
        </w:rPr>
        <w:t>4</w:t>
      </w:r>
      <w:r w:rsidRPr="00513A88">
        <w:rPr>
          <w:rFonts w:asciiTheme="majorHAnsi" w:hAnsiTheme="majorHAnsi" w:cstheme="majorHAnsi"/>
          <w:szCs w:val="22"/>
        </w:rPr>
        <w:t>: Seznam poddodavatelů</w:t>
      </w:r>
      <w:r w:rsidR="00475943" w:rsidRPr="00513A88">
        <w:rPr>
          <w:rFonts w:asciiTheme="majorHAnsi" w:hAnsiTheme="majorHAnsi" w:cstheme="majorHAnsi"/>
          <w:szCs w:val="22"/>
        </w:rPr>
        <w:t xml:space="preserve"> </w:t>
      </w:r>
      <w:r w:rsidR="00475943" w:rsidRPr="00045273">
        <w:rPr>
          <w:rFonts w:asciiTheme="majorHAnsi" w:hAnsiTheme="majorHAnsi" w:cstheme="majorHAnsi"/>
          <w:color w:val="FF0000"/>
          <w:szCs w:val="22"/>
        </w:rPr>
        <w:t>(</w:t>
      </w:r>
      <w:r w:rsidR="00513A88" w:rsidRPr="00045273">
        <w:rPr>
          <w:rFonts w:asciiTheme="majorHAnsi" w:hAnsiTheme="majorHAnsi" w:cstheme="majorHAnsi"/>
          <w:i/>
          <w:iCs/>
          <w:color w:val="FF0000"/>
          <w:szCs w:val="22"/>
        </w:rPr>
        <w:t>vyplněný formulář dle přílohy č. 3 ZP, který byl součástí nabídky účastníka zadávacího řízení</w:t>
      </w:r>
      <w:r w:rsidR="00513A88" w:rsidRPr="00045273">
        <w:rPr>
          <w:rFonts w:asciiTheme="majorHAnsi" w:hAnsiTheme="majorHAnsi" w:cstheme="majorHAnsi"/>
          <w:i/>
          <w:iCs/>
          <w:color w:val="FF0000"/>
          <w:szCs w:val="22"/>
        </w:rPr>
        <w:t xml:space="preserve"> </w:t>
      </w:r>
      <w:r w:rsidR="00475943" w:rsidRPr="00045273">
        <w:rPr>
          <w:rFonts w:asciiTheme="majorHAnsi" w:hAnsiTheme="majorHAnsi" w:cstheme="majorHAnsi"/>
          <w:i/>
          <w:iCs/>
          <w:color w:val="FF0000"/>
          <w:szCs w:val="22"/>
        </w:rPr>
        <w:t>– pouze v případě, že bude předmět zakázky plněn prostřednictvím poddodavatelů</w:t>
      </w:r>
      <w:r w:rsidR="00475943" w:rsidRPr="00045273">
        <w:rPr>
          <w:rFonts w:asciiTheme="majorHAnsi" w:hAnsiTheme="majorHAnsi" w:cstheme="majorHAnsi"/>
          <w:color w:val="FF0000"/>
          <w:szCs w:val="22"/>
        </w:rPr>
        <w:t>)</w:t>
      </w:r>
    </w:p>
    <w:p w14:paraId="3AAF8FAA" w14:textId="77777777" w:rsidR="00B74AE9" w:rsidRDefault="00B74AE9">
      <w:pPr>
        <w:spacing w:after="0"/>
        <w:jc w:val="both"/>
      </w:pPr>
    </w:p>
    <w:p w14:paraId="7C2749D1" w14:textId="77777777" w:rsidR="00B74AE9" w:rsidRDefault="00B74AE9">
      <w:pPr>
        <w:spacing w:after="0"/>
        <w:jc w:val="both"/>
      </w:pPr>
    </w:p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70E8B" w14:paraId="5FFBC1F2" w14:textId="77777777" w:rsidTr="00C70E8B">
        <w:trPr>
          <w:trHeight w:val="1278"/>
        </w:trPr>
        <w:tc>
          <w:tcPr>
            <w:tcW w:w="4531" w:type="dxa"/>
          </w:tcPr>
          <w:p w14:paraId="68380E6D" w14:textId="77777777" w:rsidR="00C70E8B" w:rsidRDefault="00C70E8B">
            <w:pPr>
              <w:jc w:val="both"/>
            </w:pPr>
            <w:r>
              <w:t xml:space="preserve">V České Lípě, dne </w:t>
            </w:r>
          </w:p>
          <w:p w14:paraId="079F61EF" w14:textId="77777777" w:rsidR="00B5679C" w:rsidRDefault="00B5679C" w:rsidP="00B5679C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Za Objednatele:</w:t>
            </w:r>
          </w:p>
          <w:p w14:paraId="777FAC81" w14:textId="77777777" w:rsidR="00C70E8B" w:rsidRDefault="00C70E8B">
            <w:pPr>
              <w:jc w:val="both"/>
            </w:pPr>
          </w:p>
          <w:p w14:paraId="2A645969" w14:textId="77777777" w:rsidR="00C70E8B" w:rsidRDefault="00C70E8B">
            <w:pPr>
              <w:jc w:val="both"/>
            </w:pPr>
          </w:p>
          <w:p w14:paraId="6B386454" w14:textId="77777777" w:rsidR="00C70E8B" w:rsidRDefault="00C70E8B">
            <w:pPr>
              <w:jc w:val="both"/>
            </w:pPr>
            <w:r>
              <w:t>____________________________________</w:t>
            </w:r>
          </w:p>
          <w:p w14:paraId="2D4D5AFC" w14:textId="77777777" w:rsidR="00C70E8B" w:rsidRDefault="00C70E8B" w:rsidP="00C70E8B">
            <w:r>
              <w:t>Ing. Pavel Marek</w:t>
            </w:r>
          </w:p>
          <w:p w14:paraId="12D5ED00" w14:textId="3DAED617" w:rsidR="00C70E8B" w:rsidRDefault="00C70E8B" w:rsidP="00C70E8B">
            <w:pPr>
              <w:spacing w:after="0"/>
            </w:pPr>
            <w:r>
              <w:t>Předseda představenstva</w:t>
            </w:r>
          </w:p>
        </w:tc>
        <w:tc>
          <w:tcPr>
            <w:tcW w:w="4531" w:type="dxa"/>
          </w:tcPr>
          <w:p w14:paraId="6E48FC60" w14:textId="5EE757C6" w:rsidR="00C70E8B" w:rsidRDefault="00C70E8B">
            <w:pPr>
              <w:jc w:val="both"/>
            </w:pPr>
            <w:r>
              <w:t>V</w:t>
            </w:r>
            <w:r w:rsidR="000D11A6" w:rsidRPr="00C26308">
              <w:rPr>
                <w:highlight w:val="lightGray"/>
              </w:rPr>
              <w:t>________</w:t>
            </w:r>
            <w:r>
              <w:t>, dne</w:t>
            </w:r>
            <w:r w:rsidR="000D11A6" w:rsidRPr="00C26308">
              <w:rPr>
                <w:highlight w:val="lightGray"/>
              </w:rPr>
              <w:t>_________</w:t>
            </w:r>
          </w:p>
          <w:p w14:paraId="4C0E64BE" w14:textId="260EEF08" w:rsidR="00B5679C" w:rsidRDefault="00B5679C" w:rsidP="00B5679C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Za Poskytovatele:</w:t>
            </w:r>
          </w:p>
          <w:p w14:paraId="003A1906" w14:textId="77777777" w:rsidR="00C70E8B" w:rsidRDefault="00C70E8B">
            <w:pPr>
              <w:jc w:val="both"/>
            </w:pPr>
          </w:p>
          <w:p w14:paraId="29FC8171" w14:textId="77777777" w:rsidR="00C70E8B" w:rsidRDefault="00C70E8B">
            <w:pPr>
              <w:jc w:val="both"/>
            </w:pPr>
          </w:p>
          <w:p w14:paraId="40564F81" w14:textId="77777777" w:rsidR="00C70E8B" w:rsidRDefault="00C70E8B">
            <w:pPr>
              <w:jc w:val="both"/>
            </w:pPr>
            <w:r>
              <w:t>____________________________________</w:t>
            </w:r>
          </w:p>
          <w:p w14:paraId="33F1D817" w14:textId="704A80DC" w:rsidR="00C70E8B" w:rsidRDefault="00C70E8B">
            <w:pPr>
              <w:spacing w:after="0"/>
              <w:jc w:val="both"/>
            </w:pPr>
            <w:r>
              <w:t xml:space="preserve">Zástupce </w:t>
            </w:r>
            <w:r w:rsidR="00B5679C">
              <w:t>poskytovatele</w:t>
            </w:r>
          </w:p>
        </w:tc>
      </w:tr>
    </w:tbl>
    <w:p w14:paraId="0A47C7B2" w14:textId="77777777" w:rsidR="00B74AE9" w:rsidRDefault="00B74AE9">
      <w:pPr>
        <w:spacing w:after="0"/>
        <w:jc w:val="both"/>
      </w:pPr>
    </w:p>
    <w:bookmarkEnd w:id="0"/>
    <w:p w14:paraId="2B2CFB71" w14:textId="7045D347" w:rsidR="00B74AE9" w:rsidRDefault="00B74AE9">
      <w:pPr>
        <w:spacing w:after="0"/>
      </w:pPr>
    </w:p>
    <w:p w14:paraId="142143AE" w14:textId="77777777" w:rsidR="00475943" w:rsidRPr="00475943" w:rsidRDefault="00475943" w:rsidP="00475943">
      <w:pPr>
        <w:jc w:val="both"/>
        <w:rPr>
          <w:rFonts w:asciiTheme="majorHAnsi" w:hAnsiTheme="majorHAnsi" w:cstheme="majorHAnsi"/>
          <w:i/>
          <w:color w:val="FF0000"/>
        </w:rPr>
      </w:pPr>
      <w:r w:rsidRPr="00475943">
        <w:rPr>
          <w:rFonts w:asciiTheme="majorHAnsi" w:hAnsiTheme="majorHAnsi" w:cstheme="majorHAnsi"/>
          <w:i/>
          <w:color w:val="FF0000"/>
        </w:rPr>
        <w:t xml:space="preserve">*Červené texty v závorkách, uvedené u jednotlivých příloh </w:t>
      </w:r>
      <w:proofErr w:type="gramStart"/>
      <w:r w:rsidRPr="00475943">
        <w:rPr>
          <w:rFonts w:asciiTheme="majorHAnsi" w:hAnsiTheme="majorHAnsi" w:cstheme="majorHAnsi"/>
          <w:i/>
          <w:color w:val="FF0000"/>
        </w:rPr>
        <w:t>slouží</w:t>
      </w:r>
      <w:proofErr w:type="gramEnd"/>
      <w:r w:rsidRPr="00475943">
        <w:rPr>
          <w:rFonts w:asciiTheme="majorHAnsi" w:hAnsiTheme="majorHAnsi" w:cstheme="majorHAnsi"/>
          <w:i/>
          <w:color w:val="FF0000"/>
        </w:rPr>
        <w:t xml:space="preserve"> pouze jako poznámky pro lepší orientaci účastníků zadávacího řízení, před podpisem smlouvy budou z textu vypuštěny. </w:t>
      </w:r>
    </w:p>
    <w:p w14:paraId="41C7345E" w14:textId="1230D171" w:rsidR="008B2EC1" w:rsidRDefault="008B2EC1">
      <w:pPr>
        <w:spacing w:after="0"/>
      </w:pPr>
    </w:p>
    <w:p w14:paraId="75DFA6FA" w14:textId="2015B73D" w:rsidR="008B2EC1" w:rsidRDefault="008B2EC1">
      <w:pPr>
        <w:spacing w:after="0"/>
      </w:pPr>
    </w:p>
    <w:p w14:paraId="33E58973" w14:textId="77777777" w:rsidR="008B2EC1" w:rsidRDefault="008B2EC1">
      <w:pPr>
        <w:spacing w:after="0"/>
      </w:pPr>
    </w:p>
    <w:sectPr w:rsidR="008B2EC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21A0" w14:textId="77777777" w:rsidR="00E32F9B" w:rsidRDefault="00E32F9B">
      <w:pPr>
        <w:spacing w:after="0" w:line="240" w:lineRule="auto"/>
      </w:pPr>
      <w:r>
        <w:separator/>
      </w:r>
    </w:p>
  </w:endnote>
  <w:endnote w:type="continuationSeparator" w:id="0">
    <w:p w14:paraId="7F5C4F9E" w14:textId="77777777" w:rsidR="00E32F9B" w:rsidRDefault="00E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4BA8" w14:textId="77777777" w:rsidR="00B74AE9" w:rsidRDefault="00C66D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8583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18583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0C2D" w14:textId="77777777" w:rsidR="00E32F9B" w:rsidRDefault="00E32F9B">
      <w:pPr>
        <w:spacing w:after="0" w:line="240" w:lineRule="auto"/>
      </w:pPr>
      <w:r>
        <w:separator/>
      </w:r>
    </w:p>
  </w:footnote>
  <w:footnote w:type="continuationSeparator" w:id="0">
    <w:p w14:paraId="0D6C4DDB" w14:textId="77777777" w:rsidR="00E32F9B" w:rsidRDefault="00E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82AB" w14:textId="77777777" w:rsidR="00B74AE9" w:rsidRDefault="00B74A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</w:p>
  <w:p w14:paraId="579F7EC3" w14:textId="1A638F69" w:rsidR="00B74AE9" w:rsidRDefault="00B74A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E8F"/>
    <w:multiLevelType w:val="multilevel"/>
    <w:tmpl w:val="2EE0A2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F7A03"/>
    <w:multiLevelType w:val="multilevel"/>
    <w:tmpl w:val="2E6C66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5B68"/>
    <w:multiLevelType w:val="multilevel"/>
    <w:tmpl w:val="CC7AD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1539"/>
    <w:multiLevelType w:val="hybridMultilevel"/>
    <w:tmpl w:val="9C20DD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13BEE"/>
    <w:multiLevelType w:val="multilevel"/>
    <w:tmpl w:val="C4C8B8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70A4B"/>
    <w:multiLevelType w:val="multilevel"/>
    <w:tmpl w:val="3DCAD3A2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9336C1"/>
    <w:multiLevelType w:val="multilevel"/>
    <w:tmpl w:val="B1F821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84DE7"/>
    <w:multiLevelType w:val="multilevel"/>
    <w:tmpl w:val="B428E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525"/>
    <w:multiLevelType w:val="multilevel"/>
    <w:tmpl w:val="2632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B5CA6"/>
    <w:multiLevelType w:val="multilevel"/>
    <w:tmpl w:val="1F207B8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062E26"/>
    <w:multiLevelType w:val="multilevel"/>
    <w:tmpl w:val="3DB22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5172B0"/>
    <w:multiLevelType w:val="multilevel"/>
    <w:tmpl w:val="1408D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DA5511"/>
    <w:multiLevelType w:val="multilevel"/>
    <w:tmpl w:val="5AD28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495A7B"/>
    <w:multiLevelType w:val="multilevel"/>
    <w:tmpl w:val="CC2AF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73128024">
    <w:abstractNumId w:val="3"/>
  </w:num>
  <w:num w:numId="2" w16cid:durableId="1675231397">
    <w:abstractNumId w:val="13"/>
  </w:num>
  <w:num w:numId="3" w16cid:durableId="1516382726">
    <w:abstractNumId w:val="6"/>
  </w:num>
  <w:num w:numId="4" w16cid:durableId="1120413985">
    <w:abstractNumId w:val="11"/>
  </w:num>
  <w:num w:numId="5" w16cid:durableId="1861509023">
    <w:abstractNumId w:val="8"/>
  </w:num>
  <w:num w:numId="6" w16cid:durableId="993097338">
    <w:abstractNumId w:val="0"/>
  </w:num>
  <w:num w:numId="7" w16cid:durableId="1800873298">
    <w:abstractNumId w:val="14"/>
  </w:num>
  <w:num w:numId="8" w16cid:durableId="47727011">
    <w:abstractNumId w:val="9"/>
  </w:num>
  <w:num w:numId="9" w16cid:durableId="603617481">
    <w:abstractNumId w:val="10"/>
  </w:num>
  <w:num w:numId="10" w16cid:durableId="1335109106">
    <w:abstractNumId w:val="12"/>
  </w:num>
  <w:num w:numId="11" w16cid:durableId="522400917">
    <w:abstractNumId w:val="5"/>
  </w:num>
  <w:num w:numId="12" w16cid:durableId="2030833597">
    <w:abstractNumId w:val="2"/>
  </w:num>
  <w:num w:numId="13" w16cid:durableId="6071283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0545044">
    <w:abstractNumId w:val="1"/>
  </w:num>
  <w:num w:numId="15" w16cid:durableId="1455320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E9"/>
    <w:rsid w:val="00011792"/>
    <w:rsid w:val="00027444"/>
    <w:rsid w:val="00031E89"/>
    <w:rsid w:val="00041F60"/>
    <w:rsid w:val="00044935"/>
    <w:rsid w:val="00045273"/>
    <w:rsid w:val="000709A4"/>
    <w:rsid w:val="000D11A6"/>
    <w:rsid w:val="00150D39"/>
    <w:rsid w:val="0018583F"/>
    <w:rsid w:val="001E64EB"/>
    <w:rsid w:val="001F7767"/>
    <w:rsid w:val="002001C1"/>
    <w:rsid w:val="00230DF6"/>
    <w:rsid w:val="00241DE2"/>
    <w:rsid w:val="00273759"/>
    <w:rsid w:val="002A09E9"/>
    <w:rsid w:val="0031179F"/>
    <w:rsid w:val="0032507A"/>
    <w:rsid w:val="00327BCE"/>
    <w:rsid w:val="003458FA"/>
    <w:rsid w:val="00353660"/>
    <w:rsid w:val="00366EE3"/>
    <w:rsid w:val="0038593B"/>
    <w:rsid w:val="00392056"/>
    <w:rsid w:val="003A27A7"/>
    <w:rsid w:val="003C4A8F"/>
    <w:rsid w:val="00421359"/>
    <w:rsid w:val="004417FE"/>
    <w:rsid w:val="00446432"/>
    <w:rsid w:val="00475943"/>
    <w:rsid w:val="00493D32"/>
    <w:rsid w:val="004A5BF7"/>
    <w:rsid w:val="00513A88"/>
    <w:rsid w:val="00516C94"/>
    <w:rsid w:val="00545082"/>
    <w:rsid w:val="00585971"/>
    <w:rsid w:val="005C4479"/>
    <w:rsid w:val="005E508A"/>
    <w:rsid w:val="00641B3C"/>
    <w:rsid w:val="00652F59"/>
    <w:rsid w:val="00657D1B"/>
    <w:rsid w:val="006B4412"/>
    <w:rsid w:val="00756376"/>
    <w:rsid w:val="00765F43"/>
    <w:rsid w:val="00782FFF"/>
    <w:rsid w:val="007B7A63"/>
    <w:rsid w:val="007C79D9"/>
    <w:rsid w:val="00844D57"/>
    <w:rsid w:val="00890512"/>
    <w:rsid w:val="00894269"/>
    <w:rsid w:val="008A204B"/>
    <w:rsid w:val="008B2EC1"/>
    <w:rsid w:val="00903F5C"/>
    <w:rsid w:val="00923742"/>
    <w:rsid w:val="00925C90"/>
    <w:rsid w:val="009554D0"/>
    <w:rsid w:val="00963ED4"/>
    <w:rsid w:val="009A636F"/>
    <w:rsid w:val="00A264CC"/>
    <w:rsid w:val="00A273BE"/>
    <w:rsid w:val="00A5575C"/>
    <w:rsid w:val="00AE7E49"/>
    <w:rsid w:val="00B00FC4"/>
    <w:rsid w:val="00B1472E"/>
    <w:rsid w:val="00B1530C"/>
    <w:rsid w:val="00B27D8E"/>
    <w:rsid w:val="00B5679C"/>
    <w:rsid w:val="00B74AE9"/>
    <w:rsid w:val="00C10302"/>
    <w:rsid w:val="00C12353"/>
    <w:rsid w:val="00C26308"/>
    <w:rsid w:val="00C66D4A"/>
    <w:rsid w:val="00C70E8B"/>
    <w:rsid w:val="00C73E92"/>
    <w:rsid w:val="00C76257"/>
    <w:rsid w:val="00CB39C1"/>
    <w:rsid w:val="00CE5321"/>
    <w:rsid w:val="00D06352"/>
    <w:rsid w:val="00D36341"/>
    <w:rsid w:val="00DA1BD8"/>
    <w:rsid w:val="00DB0CC7"/>
    <w:rsid w:val="00E22D05"/>
    <w:rsid w:val="00E32F9B"/>
    <w:rsid w:val="00EB15B2"/>
    <w:rsid w:val="00ED482E"/>
    <w:rsid w:val="00F045F6"/>
    <w:rsid w:val="00F1645C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6D3B1"/>
  <w15:docId w15:val="{B53AEBC5-DAA1-4CB7-96D9-0D130BDD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8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bottom w:w="113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8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83F"/>
  </w:style>
  <w:style w:type="paragraph" w:styleId="Zpat">
    <w:name w:val="footer"/>
    <w:basedOn w:val="Normln"/>
    <w:link w:val="ZpatChar"/>
    <w:uiPriority w:val="99"/>
    <w:unhideWhenUsed/>
    <w:rsid w:val="0018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83F"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C79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1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1E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1E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E89"/>
    <w:rPr>
      <w:b/>
      <w:bCs/>
      <w:sz w:val="20"/>
      <w:szCs w:val="20"/>
    </w:rPr>
  </w:style>
  <w:style w:type="table" w:styleId="Mkatabulky">
    <w:name w:val="Table Grid"/>
    <w:basedOn w:val="Normlntabulka"/>
    <w:rsid w:val="00C7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aky1">
    <w:name w:val="odražky1"/>
    <w:rsid w:val="00C70E8B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67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679C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Revize">
    <w:name w:val="Revision"/>
    <w:hidden/>
    <w:uiPriority w:val="99"/>
    <w:semiHidden/>
    <w:rsid w:val="00CB39C1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AE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8573-E963-4A58-AEC1-1107F098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3153</Words>
  <Characters>18603</Characters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2022-09-16T09:25:00Z</dcterms:created>
  <dcterms:modified xsi:type="dcterms:W3CDTF">2022-09-16T12:50:00Z</dcterms:modified>
</cp:coreProperties>
</file>