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 xml:space="preserve">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4C6C30" w:rsidRDefault="004C6C30" w:rsidP="004C6C30">
      <w:pPr>
        <w:jc w:val="center"/>
      </w:pPr>
      <w:r>
        <w:rPr>
          <w:b/>
          <w:bCs/>
          <w:sz w:val="32"/>
          <w:szCs w:val="32"/>
        </w:rPr>
        <w:t>Odstranění rodinného domu č. p. 16 Těšov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4C6C30" w:rsidRDefault="004C6C30" w:rsidP="004C6C30">
      <w:pPr>
        <w:rPr>
          <w:rFonts w:cs="Arial"/>
          <w:bCs/>
        </w:rPr>
      </w:pPr>
      <w:r>
        <w:rPr>
          <w:rFonts w:cs="Arial"/>
          <w:bCs/>
        </w:rPr>
        <w:t>Bude odstraněna stávající stavba rodinného domu č. p. 16 o půdorysném rozměru 7,1 x 5,8m. Stavba je jednopodlažní nepodsklepená se sedlovou střechou. Výška stavby je 6,5m. Jedná se o zděnou stavbu, nosná obvodová konstrukce je vyzděna z </w:t>
      </w:r>
      <w:r w:rsidRPr="00CC1EE4">
        <w:rPr>
          <w:rFonts w:cs="Arial"/>
          <w:bCs/>
        </w:rPr>
        <w:t>nepálených</w:t>
      </w:r>
      <w:r>
        <w:rPr>
          <w:rFonts w:cs="Arial"/>
          <w:bCs/>
        </w:rPr>
        <w:t xml:space="preserve"> cihel, stropní konstrukce dřevěná trámová.</w:t>
      </w:r>
      <w:r w:rsidRPr="00CC1EE4">
        <w:rPr>
          <w:rFonts w:cs="Arial"/>
          <w:bCs/>
        </w:rPr>
        <w:t xml:space="preserve"> </w:t>
      </w:r>
      <w:r>
        <w:rPr>
          <w:rFonts w:cs="Arial"/>
          <w:bCs/>
        </w:rPr>
        <w:t>Střešní krovová konstrukce</w:t>
      </w:r>
      <w:r w:rsidRPr="00CC1EE4">
        <w:rPr>
          <w:rFonts w:cs="Arial"/>
          <w:bCs/>
        </w:rPr>
        <w:t xml:space="preserve"> </w:t>
      </w:r>
      <w:r>
        <w:rPr>
          <w:rFonts w:cs="Arial"/>
          <w:bCs/>
        </w:rPr>
        <w:t xml:space="preserve">je dřevěná, </w:t>
      </w:r>
      <w:r w:rsidRPr="00CC1EE4">
        <w:rPr>
          <w:rFonts w:cs="Arial"/>
          <w:bCs/>
        </w:rPr>
        <w:t xml:space="preserve">střešní krytina </w:t>
      </w:r>
      <w:r>
        <w:rPr>
          <w:rFonts w:cs="Arial"/>
          <w:bCs/>
        </w:rPr>
        <w:t xml:space="preserve">je provedena z </w:t>
      </w:r>
      <w:r w:rsidRPr="00CC1EE4">
        <w:rPr>
          <w:rFonts w:cs="Arial"/>
          <w:bCs/>
        </w:rPr>
        <w:t>eternitových šablon.</w:t>
      </w:r>
      <w:r>
        <w:rPr>
          <w:rFonts w:cs="Arial"/>
          <w:bCs/>
        </w:rPr>
        <w:t xml:space="preserve"> Stavba bude odstraněna vč. kamenného základu. Součástí odstranění bude zděné oplocení. </w:t>
      </w:r>
      <w:r w:rsidRPr="00E2107D">
        <w:rPr>
          <w:rFonts w:cs="Arial"/>
          <w:bCs/>
        </w:rPr>
        <w:t>Pozemek po demolici bude srovnán tak, aby nedocházelo ke stékání dešťových vod na sousední pozemky a stavby.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4C6C30" w:rsidRDefault="004C6C30" w:rsidP="004C6C30">
      <w:pPr>
        <w:pStyle w:val="Zkladntextodsazen2-odrky"/>
      </w:pPr>
      <w:r w:rsidRPr="00CF75F1">
        <w:t>Rozsah díla</w:t>
      </w:r>
      <w:r>
        <w:t xml:space="preserve"> je vymezen dokumentací zakázky „</w:t>
      </w:r>
      <w:r w:rsidRPr="00EF066B">
        <w:t>Dem</w:t>
      </w:r>
      <w:r>
        <w:t xml:space="preserve">olice rodinného domu č. p. 16 v Těšově“ </w:t>
      </w:r>
      <w:r w:rsidRPr="00CF75F1">
        <w:t xml:space="preserve">zpracovanou </w:t>
      </w:r>
      <w:r>
        <w:t xml:space="preserve">v červenci 2022 projektovou kanceláří </w:t>
      </w:r>
      <w:r w:rsidRPr="00BF3C42">
        <w:t>Ing. Miroslav</w:t>
      </w:r>
      <w:r>
        <w:t>a Poláš</w:t>
      </w:r>
      <w:r w:rsidRPr="00BF3C42">
        <w:t>k</w:t>
      </w:r>
      <w:r>
        <w:t>a</w:t>
      </w:r>
      <w:r w:rsidRPr="00BF3C42">
        <w:t xml:space="preserve"> projekční činnost, Maršovská 2242, 688 01 Uh</w:t>
      </w:r>
      <w:r>
        <w:t xml:space="preserve">erský </w:t>
      </w:r>
      <w:r w:rsidRPr="00BF3C42">
        <w:t>Brod, IČ:67539157</w:t>
      </w:r>
      <w:r>
        <w:t>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lastRenderedPageBreak/>
        <w:t xml:space="preserve">Zhotovitel je povinen průběžně ode dne předání staveniště, až do doby protokolárního předání </w:t>
      </w:r>
      <w:r w:rsidR="00B100E4">
        <w:t>a </w:t>
      </w:r>
      <w:r>
        <w:t xml:space="preserve">převzetí díla pořizovat fotodokumentaci postupu </w:t>
      </w:r>
      <w:r w:rsidR="00461A7A">
        <w:t>demoličních</w:t>
      </w:r>
      <w:r>
        <w:t xml:space="preserve">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</w:t>
      </w:r>
      <w:r w:rsidR="00461A7A">
        <w:t xml:space="preserve"> provádění kontrolní prohlídky odstraňované</w:t>
      </w:r>
      <w:r w:rsidRPr="00635048">
        <w:t xml:space="preserve">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 xml:space="preserve">Odstranění případných závad zjištěných při závěrečné kontrolní prohlídce </w:t>
      </w:r>
      <w:r w:rsidR="00952AA3">
        <w:t xml:space="preserve">odstraněné </w:t>
      </w:r>
      <w:r>
        <w:t>stavby.</w:t>
      </w:r>
    </w:p>
    <w:p w:rsidR="00624C39" w:rsidRDefault="00D74105" w:rsidP="00952AA3">
      <w:pPr>
        <w:pStyle w:val="Zkladntextodsazen2-odrky"/>
      </w:pPr>
      <w:r>
        <w:t xml:space="preserve">Uvedení všech povrchů dotčených stavbou do původního stavu, kromě povrchů upravovaných v rámci </w:t>
      </w:r>
      <w:r w:rsidR="00952AA3">
        <w:t>odstranění stavby.</w:t>
      </w: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 xml:space="preserve">Zhotovitel je povinen zajistit provádění </w:t>
      </w:r>
      <w:r w:rsidR="00952AA3">
        <w:t xml:space="preserve">demoličních </w:t>
      </w:r>
      <w:r w:rsidRPr="00763B68">
        <w:t>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t xml:space="preserve">Projektová dokumentace pro </w:t>
      </w:r>
      <w:r w:rsidR="00952AA3">
        <w:t>odstranění</w:t>
      </w:r>
      <w:r>
        <w:t xml:space="preserve">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034CF4">
      <w:pPr>
        <w:pStyle w:val="Zkladntextodsazen2-odrky"/>
      </w:pPr>
      <w:r>
        <w:t>Objednatel má právo z předmětu smlouvy vyloučit některé práce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0A0C3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CD6D88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01.08</w:t>
            </w:r>
            <w:r w:rsidR="000A0C33">
              <w:rPr>
                <w:i w:val="0"/>
              </w:rPr>
              <w:t>.2023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CD6D88" w:rsidP="00034CF4">
            <w:pPr>
              <w:pStyle w:val="normlnikmytext"/>
              <w:ind w:left="0"/>
              <w:rPr>
                <w:rStyle w:val="cena"/>
                <w:i w:val="0"/>
              </w:rPr>
            </w:pPr>
            <w:r>
              <w:rPr>
                <w:i w:val="0"/>
              </w:rPr>
              <w:t xml:space="preserve">       31.08</w:t>
            </w:r>
            <w:r w:rsidR="000A0C33">
              <w:rPr>
                <w:i w:val="0"/>
              </w:rPr>
              <w:t>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</w:t>
      </w:r>
      <w:r w:rsidR="00952AA3">
        <w:t>odstranění stavby</w:t>
      </w:r>
      <w:r w:rsidR="00BF1E9C">
        <w:t xml:space="preserve">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</w:t>
      </w:r>
      <w:r w:rsidR="005E3451">
        <w:t>odstranění st</w:t>
      </w:r>
      <w:r w:rsidR="00CD6D88">
        <w:t>a</w:t>
      </w:r>
      <w:r w:rsidR="005E3451">
        <w:t>vby</w:t>
      </w:r>
      <w:r w:rsidR="0031553A">
        <w:t xml:space="preserve">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lastRenderedPageBreak/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5E3451">
        <w:rPr>
          <w:rFonts w:cs="Arial"/>
        </w:rPr>
        <w:t xml:space="preserve">parcela č. 707/1, </w:t>
      </w:r>
      <w:proofErr w:type="spellStart"/>
      <w:r w:rsidR="005E3451">
        <w:rPr>
          <w:rFonts w:cs="Arial"/>
        </w:rPr>
        <w:t>k.ú</w:t>
      </w:r>
      <w:proofErr w:type="spellEnd"/>
      <w:r w:rsidR="005E3451">
        <w:rPr>
          <w:rFonts w:cs="Arial"/>
        </w:rPr>
        <w:t>. Těšov, ul. Pod Rubanisky, Uherský Brod-Těšov.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5E3451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Pr="00CD6D88" w:rsidRDefault="003F14F0" w:rsidP="00525363">
      <w:pPr>
        <w:pStyle w:val="Zkladntext"/>
      </w:pPr>
      <w:r>
        <w:t xml:space="preserve">Sjednaná cena </w:t>
      </w:r>
      <w:r w:rsidRPr="00CD6D88">
        <w:t>může být změněna pouze za níže uvedených podmínek:</w:t>
      </w:r>
    </w:p>
    <w:p w:rsidR="003F14F0" w:rsidRPr="00CD6D88" w:rsidRDefault="003F14F0" w:rsidP="00525363">
      <w:pPr>
        <w:pStyle w:val="Zkladntextodsazen3-odstavce"/>
      </w:pPr>
      <w:r w:rsidRPr="00CD6D88">
        <w:t>po podpisu smlouvy a před termínem dokončení díla dojde ke změně DPH</w:t>
      </w:r>
    </w:p>
    <w:p w:rsidR="003F14F0" w:rsidRPr="00CD6D88" w:rsidRDefault="003F14F0" w:rsidP="00525363">
      <w:pPr>
        <w:pStyle w:val="Zkladntextodsazen3-odstavce"/>
      </w:pPr>
      <w:r w:rsidRPr="00CD6D88"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Pr="00CD6D88" w:rsidRDefault="00CB1506" w:rsidP="00CB1506">
      <w:pPr>
        <w:pStyle w:val="Zkladntextodsazen3-odstavce"/>
      </w:pPr>
      <w:r w:rsidRPr="00CD6D88">
        <w:t xml:space="preserve">   při realizaci se zjistí skutečnosti, které nebyly v době podpisu smlouvy známy, a</w:t>
      </w:r>
      <w:r w:rsidR="0031553A" w:rsidRPr="00CD6D88">
        <w:t> </w:t>
      </w:r>
      <w:r w:rsidRPr="00CD6D88">
        <w:t>zhotovitel je nezavinil ani nemohl předvídat a mají vliv na cenu díla</w:t>
      </w:r>
    </w:p>
    <w:p w:rsidR="00CB1506" w:rsidRPr="00CD6D88" w:rsidRDefault="00CB1506" w:rsidP="00CB1506">
      <w:pPr>
        <w:pStyle w:val="Zkladntextodsazen3-odstavce"/>
      </w:pPr>
      <w:r w:rsidRPr="00CD6D88">
        <w:t>při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lastRenderedPageBreak/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 xml:space="preserve">Je si vědom, že sjednané termíny pro plnění závazků a doba plnění díla vč. vyklizení staveniště jsou konečné a nelze se od nich odchýlit. S ohledem na tuto skutečnost </w:t>
      </w:r>
      <w:r>
        <w:rPr>
          <w:rFonts w:cs="Arial"/>
        </w:rPr>
        <w:lastRenderedPageBreak/>
        <w:t>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B26011" w:rsidRPr="00210118" w:rsidRDefault="00B26011" w:rsidP="00B26011">
      <w:pPr>
        <w:pStyle w:val="Zkladntextodsazen2-odrky"/>
      </w:pPr>
      <w:r>
        <w:t>Objednatel provede na své náklady před předáním staveniště zhotoviteli vyklizení starého nábytku a odpadu, který je umístěn uvnitř objektu.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lastRenderedPageBreak/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lastRenderedPageBreak/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</w:t>
      </w:r>
      <w:r>
        <w:lastRenderedPageBreak/>
        <w:t>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</w:t>
      </w:r>
      <w:r>
        <w:lastRenderedPageBreak/>
        <w:t xml:space="preserve">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6313A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  <w:p w:rsidR="00684A04" w:rsidRDefault="00684A04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  <w:p w:rsidR="00684A04" w:rsidRDefault="00684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  <w:p w:rsidR="00684A04" w:rsidRDefault="00684A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684A04" w:rsidRPr="00461A7A" w:rsidRDefault="00461A7A" w:rsidP="00461A7A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Odstranění rodinného domu č.p. 163 Těšov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C1294B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C1294B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  <w:p w:rsidR="00684A04" w:rsidRDefault="00684A04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  <w:p w:rsidR="00684A04" w:rsidRDefault="00684A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  <w:p w:rsidR="00684A04" w:rsidRDefault="00684A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  <w:p w:rsidR="00684A04" w:rsidRDefault="00684A0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cs="Times New Roman" w:hint="eastAsi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11"/>
  </w:num>
  <w:num w:numId="16">
    <w:abstractNumId w:val="1"/>
  </w:num>
  <w:num w:numId="17">
    <w:abstractNumId w:val="16"/>
  </w:num>
  <w:num w:numId="18">
    <w:abstractNumId w:val="3"/>
  </w:num>
  <w:num w:numId="19">
    <w:abstractNumId w:val="4"/>
  </w:num>
  <w:num w:numId="20">
    <w:abstractNumId w:val="1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ocumentProtection w:edit="forms" w:enforcement="1" w:cryptProviderType="rsaAES" w:cryptAlgorithmClass="hash" w:cryptAlgorithmType="typeAny" w:cryptAlgorithmSid="14" w:cryptSpinCount="100000" w:hash="otWGtIT9AKIhKmxRZYh2iKODOhjnTYiAJ4uDj8qqHLZRzP4vAuNoFgMmE+v0hO16Kk/RMwl2oXcmIIGTRXXkWQ==" w:salt="FLkv7Nmx8XzVf3R3J8FwZw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4F8A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61A7A"/>
    <w:rsid w:val="004709F4"/>
    <w:rsid w:val="00484F46"/>
    <w:rsid w:val="00494929"/>
    <w:rsid w:val="004B04C8"/>
    <w:rsid w:val="004B2A8A"/>
    <w:rsid w:val="004C6C30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E3451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4A04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2AA3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06E3E"/>
    <w:rsid w:val="00B100E4"/>
    <w:rsid w:val="00B148CF"/>
    <w:rsid w:val="00B167C8"/>
    <w:rsid w:val="00B20C5B"/>
    <w:rsid w:val="00B26011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1294B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D6D88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B26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18CC7-A07F-4037-AEA7-ADD1CA13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12</Pages>
  <Words>5488</Words>
  <Characters>32384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84</cp:revision>
  <cp:lastPrinted>2021-01-05T12:18:00Z</cp:lastPrinted>
  <dcterms:created xsi:type="dcterms:W3CDTF">2018-03-07T15:51:00Z</dcterms:created>
  <dcterms:modified xsi:type="dcterms:W3CDTF">2023-04-28T08:25:00Z</dcterms:modified>
</cp:coreProperties>
</file>