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9F5BA" w14:textId="77777777" w:rsidR="00BB55EA" w:rsidRPr="004E0A69" w:rsidRDefault="00BB55EA" w:rsidP="00BB55EA">
      <w:pPr>
        <w:pStyle w:val="Nadpis11"/>
        <w:shd w:val="clear" w:color="auto" w:fill="auto"/>
        <w:spacing w:after="60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 xml:space="preserve">Příloha č. 1 servisní smlouvy </w:t>
      </w:r>
      <w:r>
        <w:rPr>
          <w:rFonts w:ascii="Times New Roman" w:hAnsi="Times New Roman" w:cs="Times New Roman"/>
          <w:color w:val="000000"/>
          <w:lang w:eastAsia="cs-CZ" w:bidi="cs-CZ"/>
        </w:rPr>
        <w:t>DOD20230170</w:t>
      </w:r>
    </w:p>
    <w:p w14:paraId="0CB4D46A" w14:textId="77777777" w:rsidR="00BB55EA" w:rsidRPr="004E0A69" w:rsidRDefault="00BB55EA" w:rsidP="00BB55EA">
      <w:pPr>
        <w:pStyle w:val="Nadpis11"/>
        <w:shd w:val="clear" w:color="auto" w:fill="auto"/>
        <w:spacing w:after="60"/>
        <w:rPr>
          <w:rFonts w:ascii="Times New Roman" w:hAnsi="Times New Roman" w:cs="Times New Roman"/>
          <w:color w:val="000000"/>
          <w:lang w:eastAsia="cs-CZ" w:bidi="cs-CZ"/>
        </w:rPr>
      </w:pPr>
      <w:bookmarkStart w:id="0" w:name="bookmark2"/>
      <w:bookmarkStart w:id="1" w:name="bookmark3"/>
      <w:r w:rsidRPr="004E0A69">
        <w:rPr>
          <w:rFonts w:ascii="Times New Roman" w:hAnsi="Times New Roman" w:cs="Times New Roman"/>
          <w:color w:val="000000"/>
          <w:lang w:eastAsia="cs-CZ" w:bidi="cs-CZ"/>
        </w:rPr>
        <w:t xml:space="preserve">- Rozsah </w:t>
      </w:r>
      <w:r>
        <w:rPr>
          <w:rFonts w:ascii="Times New Roman" w:hAnsi="Times New Roman" w:cs="Times New Roman"/>
          <w:color w:val="000000"/>
          <w:lang w:eastAsia="cs-CZ" w:bidi="cs-CZ"/>
        </w:rPr>
        <w:t>pr</w:t>
      </w:r>
      <w:bookmarkStart w:id="2" w:name="_GoBack"/>
      <w:bookmarkEnd w:id="2"/>
      <w:r>
        <w:rPr>
          <w:rFonts w:ascii="Times New Roman" w:hAnsi="Times New Roman" w:cs="Times New Roman"/>
          <w:color w:val="000000"/>
          <w:lang w:eastAsia="cs-CZ" w:bidi="cs-CZ"/>
        </w:rPr>
        <w:t xml:space="preserve">eventivních </w:t>
      </w:r>
      <w:r w:rsidRPr="004E0A69">
        <w:rPr>
          <w:rFonts w:ascii="Times New Roman" w:hAnsi="Times New Roman" w:cs="Times New Roman"/>
          <w:color w:val="000000"/>
          <w:lang w:eastAsia="cs-CZ" w:bidi="cs-CZ"/>
        </w:rPr>
        <w:t>servisních prací</w:t>
      </w:r>
      <w:bookmarkEnd w:id="0"/>
      <w:bookmarkEnd w:id="1"/>
    </w:p>
    <w:p w14:paraId="104592F2" w14:textId="77777777" w:rsidR="00BB55EA" w:rsidRPr="004E0A69" w:rsidRDefault="00BB55EA" w:rsidP="00BB55EA">
      <w:pPr>
        <w:pStyle w:val="Nadpis11"/>
        <w:shd w:val="clear" w:color="auto" w:fill="auto"/>
        <w:spacing w:after="60"/>
        <w:jc w:val="both"/>
        <w:rPr>
          <w:rFonts w:ascii="Times New Roman" w:hAnsi="Times New Roman" w:cs="Times New Roman"/>
          <w:color w:val="000000"/>
          <w:lang w:eastAsia="cs-CZ" w:bidi="cs-CZ"/>
        </w:rPr>
      </w:pPr>
    </w:p>
    <w:p w14:paraId="5822F660" w14:textId="77777777" w:rsidR="00BB55EA" w:rsidRPr="004E0A69" w:rsidRDefault="00BB55EA" w:rsidP="00F22FC0">
      <w:pPr>
        <w:pStyle w:val="Nadpis11"/>
        <w:shd w:val="clear" w:color="auto" w:fill="auto"/>
        <w:spacing w:after="60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u w:val="single"/>
          <w:lang w:eastAsia="cs-CZ" w:bidi="cs-CZ"/>
        </w:rPr>
        <w:t>Rozsah servisní prohlídky mycího portálu prováděné v intervalu tří měsíců</w:t>
      </w:r>
    </w:p>
    <w:p w14:paraId="50529E03" w14:textId="77777777" w:rsidR="00BB55EA" w:rsidRPr="004E0A69" w:rsidRDefault="00BB55EA" w:rsidP="00BB55EA">
      <w:pPr>
        <w:pStyle w:val="Nadpis20"/>
        <w:numPr>
          <w:ilvl w:val="0"/>
          <w:numId w:val="2"/>
        </w:numPr>
        <w:shd w:val="clear" w:color="auto" w:fill="auto"/>
        <w:tabs>
          <w:tab w:val="left" w:pos="372"/>
        </w:tabs>
        <w:spacing w:before="360" w:after="60"/>
        <w:jc w:val="both"/>
        <w:rPr>
          <w:rFonts w:ascii="Times New Roman" w:hAnsi="Times New Roman" w:cs="Times New Roman"/>
        </w:rPr>
      </w:pPr>
      <w:bookmarkStart w:id="3" w:name="bookmark4"/>
      <w:bookmarkStart w:id="4" w:name="bookmark5"/>
      <w:r w:rsidRPr="004E0A69">
        <w:rPr>
          <w:rFonts w:ascii="Times New Roman" w:hAnsi="Times New Roman" w:cs="Times New Roman"/>
          <w:color w:val="000000"/>
          <w:lang w:eastAsia="cs-CZ" w:bidi="cs-CZ"/>
        </w:rPr>
        <w:t>Přívod energií</w:t>
      </w:r>
      <w:bookmarkEnd w:id="3"/>
      <w:bookmarkEnd w:id="4"/>
    </w:p>
    <w:p w14:paraId="0C84AA77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těsnosti všech spojů na přívodním potrubí vzduchu a všech vodních okruhů</w:t>
      </w:r>
    </w:p>
    <w:p w14:paraId="588C54BF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/>
        <w:ind w:left="380" w:hanging="38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přívodních kabelů a potrubí, zda nejsou nadměrně mechanicky namáhány a opotřebené</w:t>
      </w:r>
    </w:p>
    <w:p w14:paraId="1A9C0219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nastavení tlaku vody v portálu</w:t>
      </w:r>
    </w:p>
    <w:p w14:paraId="6E094355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 xml:space="preserve">Kontrola </w:t>
      </w:r>
      <w:proofErr w:type="spellStart"/>
      <w:r w:rsidRPr="004E0A69">
        <w:rPr>
          <w:rFonts w:ascii="Times New Roman" w:hAnsi="Times New Roman" w:cs="Times New Roman"/>
          <w:color w:val="000000"/>
          <w:lang w:eastAsia="cs-CZ" w:bidi="cs-CZ"/>
        </w:rPr>
        <w:t>oplachových</w:t>
      </w:r>
      <w:proofErr w:type="spellEnd"/>
      <w:r w:rsidRPr="004E0A69">
        <w:rPr>
          <w:rFonts w:ascii="Times New Roman" w:hAnsi="Times New Roman" w:cs="Times New Roman"/>
          <w:color w:val="000000"/>
          <w:lang w:eastAsia="cs-CZ" w:bidi="cs-CZ"/>
        </w:rPr>
        <w:t xml:space="preserve"> oblouků</w:t>
      </w:r>
    </w:p>
    <w:p w14:paraId="7469144E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činnosti dávkovačích čerpadel</w:t>
      </w:r>
    </w:p>
    <w:p w14:paraId="7E3CDB0F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/>
        <w:ind w:left="380" w:hanging="38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upevnění a opotřebení vozíčkové dráhy s nosnými konzolami a hadicové vedení s jeho držákem na mycím portálu</w:t>
      </w:r>
    </w:p>
    <w:p w14:paraId="7FACCFD9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upevnění pojezdových kolejnic a mechanických zarážek</w:t>
      </w:r>
    </w:p>
    <w:p w14:paraId="23AEAC59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činnosti čerpadel</w:t>
      </w:r>
    </w:p>
    <w:p w14:paraId="7F169730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funkčnosti uzavíracích ventilů na vodu</w:t>
      </w:r>
    </w:p>
    <w:p w14:paraId="20B309DF" w14:textId="77777777" w:rsidR="00BB55EA" w:rsidRPr="004E0A69" w:rsidRDefault="00BB55EA" w:rsidP="00BB55EA">
      <w:pPr>
        <w:pStyle w:val="Nadpis20"/>
        <w:numPr>
          <w:ilvl w:val="0"/>
          <w:numId w:val="2"/>
        </w:numPr>
        <w:shd w:val="clear" w:color="auto" w:fill="auto"/>
        <w:tabs>
          <w:tab w:val="left" w:pos="378"/>
        </w:tabs>
        <w:spacing w:after="60" w:line="302" w:lineRule="auto"/>
        <w:jc w:val="both"/>
        <w:rPr>
          <w:rFonts w:ascii="Times New Roman" w:hAnsi="Times New Roman" w:cs="Times New Roman"/>
        </w:rPr>
      </w:pPr>
      <w:bookmarkStart w:id="5" w:name="bookmark6"/>
      <w:bookmarkStart w:id="6" w:name="bookmark7"/>
      <w:r w:rsidRPr="004E0A69">
        <w:rPr>
          <w:rFonts w:ascii="Times New Roman" w:hAnsi="Times New Roman" w:cs="Times New Roman"/>
          <w:color w:val="000000"/>
          <w:lang w:eastAsia="cs-CZ" w:bidi="cs-CZ"/>
        </w:rPr>
        <w:t>Mechanické části</w:t>
      </w:r>
      <w:bookmarkEnd w:id="5"/>
      <w:bookmarkEnd w:id="6"/>
    </w:p>
    <w:p w14:paraId="0F8E6630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 w:line="302" w:lineRule="auto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Kontrola, seřízení a promazání řetězů horizontálního a vertikálních kartáčů</w:t>
      </w:r>
    </w:p>
    <w:p w14:paraId="64F2FF6D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 w:line="302" w:lineRule="auto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pohyblivosti výkyvné kulisy vertikálních kartáčů</w:t>
      </w:r>
    </w:p>
    <w:p w14:paraId="593DD715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 w:line="302" w:lineRule="auto"/>
        <w:ind w:left="380" w:hanging="38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stavu pružin, mechanických dorazů a pohyblivosti výkyvné kulisy vertikálních kartáčů</w:t>
      </w:r>
    </w:p>
    <w:p w14:paraId="34711C58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 w:line="302" w:lineRule="auto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dráhy pojezdu vertikálních kartáčů</w:t>
      </w:r>
    </w:p>
    <w:p w14:paraId="72591C08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 w:line="302" w:lineRule="auto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funkčnosti vozíků vertikálních kartáčů</w:t>
      </w:r>
    </w:p>
    <w:p w14:paraId="5F95445C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 w:line="302" w:lineRule="auto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a dotažení šroubů kartáčových segmentů</w:t>
      </w:r>
    </w:p>
    <w:p w14:paraId="7C6C5529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 w:line="302" w:lineRule="auto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dotažení šroubů převodovek a pohybového mechanismu vertikálních kartáčů</w:t>
      </w:r>
    </w:p>
    <w:p w14:paraId="630BFAA2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 w:line="302" w:lineRule="auto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Kontrola, případně doplnění nebo výměna oleje v převodovkách všech motorů</w:t>
      </w:r>
    </w:p>
    <w:p w14:paraId="5D9AF2B0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 w:line="302" w:lineRule="auto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Promazání ložisek pohybových motorů</w:t>
      </w:r>
    </w:p>
    <w:p w14:paraId="1C5D41FA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 w:line="302" w:lineRule="auto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Promazání všech mazacích míst</w:t>
      </w:r>
    </w:p>
    <w:p w14:paraId="40B8C6D9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 w:line="302" w:lineRule="auto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Vyčištění a seřízení dávkovačích čerpadel chemikálií</w:t>
      </w:r>
    </w:p>
    <w:p w14:paraId="0BB14110" w14:textId="77777777" w:rsidR="00BB55EA" w:rsidRPr="004E0A69" w:rsidRDefault="00BB55EA" w:rsidP="00BB55EA">
      <w:pPr>
        <w:pStyle w:val="Nadpis20"/>
        <w:numPr>
          <w:ilvl w:val="0"/>
          <w:numId w:val="2"/>
        </w:numPr>
        <w:shd w:val="clear" w:color="auto" w:fill="auto"/>
        <w:tabs>
          <w:tab w:val="left" w:pos="378"/>
        </w:tabs>
        <w:spacing w:after="60" w:line="302" w:lineRule="auto"/>
        <w:jc w:val="both"/>
        <w:rPr>
          <w:rFonts w:ascii="Times New Roman" w:hAnsi="Times New Roman" w:cs="Times New Roman"/>
        </w:rPr>
      </w:pPr>
      <w:bookmarkStart w:id="7" w:name="bookmark8"/>
      <w:bookmarkStart w:id="8" w:name="bookmark9"/>
      <w:r w:rsidRPr="004E0A69">
        <w:rPr>
          <w:rFonts w:ascii="Times New Roman" w:hAnsi="Times New Roman" w:cs="Times New Roman"/>
          <w:color w:val="000000"/>
          <w:lang w:eastAsia="cs-CZ" w:bidi="cs-CZ"/>
        </w:rPr>
        <w:t>Pohybový systém a mycí kartáče</w:t>
      </w:r>
      <w:bookmarkEnd w:id="7"/>
      <w:bookmarkEnd w:id="8"/>
    </w:p>
    <w:p w14:paraId="2A19A834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2"/>
        </w:tabs>
        <w:spacing w:after="60" w:line="302" w:lineRule="auto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čistoty kartáčů</w:t>
      </w:r>
    </w:p>
    <w:p w14:paraId="35569EDE" w14:textId="77777777" w:rsidR="00BB55EA" w:rsidRPr="00BC26D1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 w:line="302" w:lineRule="auto"/>
        <w:ind w:left="720" w:hanging="360"/>
        <w:jc w:val="both"/>
        <w:rPr>
          <w:rFonts w:ascii="Times New Roman" w:hAnsi="Times New Roman" w:cs="Times New Roman"/>
          <w:color w:val="000000"/>
          <w:lang w:eastAsia="cs-CZ" w:bidi="cs-CZ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opotřebení kartáčů</w:t>
      </w:r>
    </w:p>
    <w:p w14:paraId="57198B88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 w:line="302" w:lineRule="auto"/>
        <w:ind w:left="720" w:hanging="3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Seřízení pohybu kartáčů</w:t>
      </w:r>
    </w:p>
    <w:p w14:paraId="0A0AB4EE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činnosti „STOP" tlačítek</w:t>
      </w:r>
    </w:p>
    <w:p w14:paraId="57CBBDBD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lastRenderedPageBreak/>
        <w:t>Kontrola a seřízení přítlaku kartáčů</w:t>
      </w:r>
    </w:p>
    <w:p w14:paraId="3E3AED1A" w14:textId="77777777" w:rsidR="00BB55EA" w:rsidRPr="004E0A69" w:rsidRDefault="00BB55EA" w:rsidP="00BB55EA">
      <w:pPr>
        <w:pStyle w:val="Nadpis20"/>
        <w:numPr>
          <w:ilvl w:val="0"/>
          <w:numId w:val="2"/>
        </w:numPr>
        <w:shd w:val="clear" w:color="auto" w:fill="auto"/>
        <w:tabs>
          <w:tab w:val="left" w:pos="382"/>
        </w:tabs>
        <w:spacing w:after="60"/>
        <w:jc w:val="both"/>
        <w:rPr>
          <w:rFonts w:ascii="Times New Roman" w:hAnsi="Times New Roman" w:cs="Times New Roman"/>
        </w:rPr>
      </w:pPr>
      <w:bookmarkStart w:id="9" w:name="bookmark10"/>
      <w:bookmarkStart w:id="10" w:name="bookmark11"/>
      <w:proofErr w:type="spellStart"/>
      <w:r w:rsidRPr="004E0A69">
        <w:rPr>
          <w:rFonts w:ascii="Times New Roman" w:hAnsi="Times New Roman" w:cs="Times New Roman"/>
          <w:color w:val="000000"/>
          <w:lang w:eastAsia="cs-CZ" w:bidi="cs-CZ"/>
        </w:rPr>
        <w:t>Elektrosystém</w:t>
      </w:r>
      <w:bookmarkEnd w:id="9"/>
      <w:bookmarkEnd w:id="10"/>
      <w:proofErr w:type="spellEnd"/>
    </w:p>
    <w:p w14:paraId="75A6D86E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funkce jednotlivých tlačítek ručního ovládání</w:t>
      </w:r>
    </w:p>
    <w:p w14:paraId="1CC9F9EF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a očištění kontaktů elektrických prvků v rozvaděči</w:t>
      </w:r>
    </w:p>
    <w:p w14:paraId="0B8616FA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a vyčištění fotobuněk mycí technologie</w:t>
      </w:r>
    </w:p>
    <w:p w14:paraId="322C1D6F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těsnění a funkčnosti elektrických motorů pojezdu a rotace kartáčů</w:t>
      </w:r>
    </w:p>
    <w:p w14:paraId="6171F008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funkčnosti indukčních koncových spínačů pohybu portálu</w:t>
      </w:r>
    </w:p>
    <w:p w14:paraId="6B125266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ind w:left="400" w:hanging="40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činnosti indukčních snímačů horizontálního a vertikálních kartáčů, a kontrola nastavení vzdálenosti těchto snímačů</w:t>
      </w:r>
    </w:p>
    <w:p w14:paraId="38EFF7AF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činnosti proudového senzoru horizontálního kartáče a případné seřízení přítlaku</w:t>
      </w:r>
    </w:p>
    <w:p w14:paraId="68FDCC50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činnosti proudového relé vertikálních kartáčů, případné jejich seřízení</w:t>
      </w:r>
    </w:p>
    <w:p w14:paraId="6B940DCC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činnosti frekvenčního měniče</w:t>
      </w:r>
    </w:p>
    <w:p w14:paraId="29E24B2A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nastavení vzdálenosti koncových indukčních snímačů</w:t>
      </w:r>
    </w:p>
    <w:p w14:paraId="696A4E11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všech proudových senzorů, případné jejich seřízení</w:t>
      </w:r>
    </w:p>
    <w:p w14:paraId="2E41CAC7" w14:textId="77777777" w:rsidR="00BB55EA" w:rsidRPr="004E0A69" w:rsidRDefault="00BB55EA" w:rsidP="00BB55EA">
      <w:pPr>
        <w:pStyle w:val="Nadpis20"/>
        <w:numPr>
          <w:ilvl w:val="0"/>
          <w:numId w:val="2"/>
        </w:numPr>
        <w:shd w:val="clear" w:color="auto" w:fill="auto"/>
        <w:tabs>
          <w:tab w:val="left" w:pos="382"/>
        </w:tabs>
        <w:spacing w:after="60"/>
        <w:jc w:val="both"/>
        <w:rPr>
          <w:rFonts w:ascii="Times New Roman" w:hAnsi="Times New Roman" w:cs="Times New Roman"/>
        </w:rPr>
      </w:pPr>
      <w:bookmarkStart w:id="11" w:name="bookmark12"/>
      <w:bookmarkStart w:id="12" w:name="bookmark13"/>
      <w:r w:rsidRPr="004E0A69">
        <w:rPr>
          <w:rFonts w:ascii="Times New Roman" w:hAnsi="Times New Roman" w:cs="Times New Roman"/>
          <w:color w:val="000000"/>
          <w:lang w:eastAsia="cs-CZ" w:bidi="cs-CZ"/>
        </w:rPr>
        <w:t>Ostatní úkony</w:t>
      </w:r>
      <w:bookmarkEnd w:id="11"/>
      <w:bookmarkEnd w:id="12"/>
    </w:p>
    <w:p w14:paraId="2D0CFDA6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Kontrola a doplnění všech provozních a technologických náplní mycí technologie</w:t>
      </w:r>
    </w:p>
    <w:p w14:paraId="666B9C79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Celková vizuální prohlídka s kontrolou celého zařízení</w:t>
      </w:r>
    </w:p>
    <w:p w14:paraId="495EBF9F" w14:textId="77777777" w:rsidR="00BB55EA" w:rsidRPr="004E0A69" w:rsidRDefault="00BB55EA" w:rsidP="00BB55E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60"/>
        <w:jc w:val="both"/>
        <w:rPr>
          <w:rFonts w:ascii="Times New Roman" w:hAnsi="Times New Roman" w:cs="Times New Roman"/>
        </w:rPr>
      </w:pPr>
      <w:r w:rsidRPr="004E0A69">
        <w:rPr>
          <w:rFonts w:ascii="Times New Roman" w:hAnsi="Times New Roman" w:cs="Times New Roman"/>
          <w:color w:val="000000"/>
          <w:lang w:eastAsia="cs-CZ" w:bidi="cs-CZ"/>
        </w:rPr>
        <w:t>Funkční zkouška mycího cyklu v rozsahu programového vybavení</w:t>
      </w:r>
    </w:p>
    <w:p w14:paraId="52EA25A8" w14:textId="77777777" w:rsidR="00CF4C57" w:rsidRDefault="00CF4C57"/>
    <w:sectPr w:rsidR="00CF4C57" w:rsidSect="006F41FC">
      <w:headerReference w:type="default" r:id="rId7"/>
      <w:footerReference w:type="default" r:id="rId8"/>
      <w:pgSz w:w="11906" w:h="16838"/>
      <w:pgMar w:top="1985" w:right="851" w:bottom="1134" w:left="1418" w:header="737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1C0224" w16cid:durableId="279615F3"/>
  <w16cid:commentId w16cid:paraId="0C8AF9EF" w16cid:durableId="279615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96AAF" w14:textId="77777777" w:rsidR="00BB55EA" w:rsidRDefault="00BB55EA" w:rsidP="00BB55EA">
      <w:r>
        <w:separator/>
      </w:r>
    </w:p>
  </w:endnote>
  <w:endnote w:type="continuationSeparator" w:id="0">
    <w:p w14:paraId="322B470B" w14:textId="77777777" w:rsidR="00BB55EA" w:rsidRDefault="00BB55EA" w:rsidP="00BB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052660"/>
      <w:docPartObj>
        <w:docPartGallery w:val="Page Numbers (Bottom of Page)"/>
        <w:docPartUnique/>
      </w:docPartObj>
    </w:sdtPr>
    <w:sdtEndPr/>
    <w:sdtContent>
      <w:p w14:paraId="1BE9A689" w14:textId="75B6EE45" w:rsidR="004228DD" w:rsidRDefault="004228D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1FC">
          <w:rPr>
            <w:noProof/>
          </w:rPr>
          <w:t>2</w:t>
        </w:r>
        <w:r>
          <w:fldChar w:fldCharType="end"/>
        </w:r>
        <w:r>
          <w:t>/</w:t>
        </w:r>
        <w:r w:rsidR="006F41FC">
          <w:fldChar w:fldCharType="begin"/>
        </w:r>
        <w:r w:rsidR="006F41FC">
          <w:instrText xml:space="preserve"> NUMPAGES   \* MERGEFORMAT </w:instrText>
        </w:r>
        <w:r w:rsidR="006F41FC">
          <w:fldChar w:fldCharType="separate"/>
        </w:r>
        <w:r w:rsidR="006F41FC">
          <w:rPr>
            <w:noProof/>
          </w:rPr>
          <w:t>2</w:t>
        </w:r>
        <w:r w:rsidR="006F41FC">
          <w:rPr>
            <w:noProof/>
          </w:rPr>
          <w:fldChar w:fldCharType="end"/>
        </w:r>
      </w:p>
    </w:sdtContent>
  </w:sdt>
  <w:p w14:paraId="72BAF0D2" w14:textId="77777777" w:rsidR="004228DD" w:rsidRDefault="00422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481D8" w14:textId="77777777" w:rsidR="00BB55EA" w:rsidRDefault="00BB55EA" w:rsidP="00BB55EA">
      <w:r>
        <w:separator/>
      </w:r>
    </w:p>
  </w:footnote>
  <w:footnote w:type="continuationSeparator" w:id="0">
    <w:p w14:paraId="7DF19722" w14:textId="77777777" w:rsidR="00BB55EA" w:rsidRDefault="00BB55EA" w:rsidP="00BB5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BFC9" w14:textId="35F7C81A" w:rsidR="006F41FC" w:rsidRPr="006F41FC" w:rsidRDefault="006F41FC">
    <w:pPr>
      <w:pStyle w:val="Zhlav"/>
      <w:rPr>
        <w:i/>
        <w:sz w:val="22"/>
      </w:rPr>
    </w:pPr>
    <w:r w:rsidRPr="006F41FC">
      <w:rPr>
        <w:i/>
        <w:noProof/>
        <w:sz w:val="22"/>
        <w:lang w:eastAsia="cs-CZ"/>
      </w:rPr>
      <w:drawing>
        <wp:anchor distT="0" distB="0" distL="114300" distR="114300" simplePos="0" relativeHeight="251660288" behindDoc="0" locked="0" layoutInCell="1" allowOverlap="1" wp14:anchorId="61AB82A1" wp14:editId="6DF67AA7">
          <wp:simplePos x="0" y="0"/>
          <wp:positionH relativeFrom="margin">
            <wp:posOffset>4281805</wp:posOffset>
          </wp:positionH>
          <wp:positionV relativeFrom="topMargin">
            <wp:align>bottom</wp:align>
          </wp:positionV>
          <wp:extent cx="2179320" cy="615315"/>
          <wp:effectExtent l="0" t="0" r="0" b="0"/>
          <wp:wrapNone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41FC">
      <w:rPr>
        <w:i/>
        <w:sz w:val="22"/>
      </w:rPr>
      <w:t>Příloha č. 3 ZD – Rozsah preventivních servisních prací</w:t>
    </w:r>
  </w:p>
  <w:p w14:paraId="3E86B05C" w14:textId="38E38F9B" w:rsidR="00BB55EA" w:rsidRDefault="006F41F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27701DB" wp14:editId="7209F6AB">
          <wp:simplePos x="0" y="0"/>
          <wp:positionH relativeFrom="margin">
            <wp:align>left</wp:align>
          </wp:positionH>
          <wp:positionV relativeFrom="paragraph">
            <wp:posOffset>27305</wp:posOffset>
          </wp:positionV>
          <wp:extent cx="1871345" cy="506095"/>
          <wp:effectExtent l="0" t="0" r="0" b="825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7C0"/>
    <w:multiLevelType w:val="multilevel"/>
    <w:tmpl w:val="1626FA28"/>
    <w:lvl w:ilvl="0">
      <w:start w:val="1"/>
      <w:numFmt w:val="bullet"/>
      <w:lvlText w:val="-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0427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42934F1"/>
    <w:multiLevelType w:val="multilevel"/>
    <w:tmpl w:val="928A4DCC"/>
    <w:lvl w:ilvl="0">
      <w:start w:val="1"/>
      <w:numFmt w:val="lowerLetter"/>
      <w:lvlText w:val="%1)"/>
      <w:lvlJc w:val="left"/>
      <w:rPr>
        <w:rFonts w:ascii="Candara" w:eastAsia="Candara" w:hAnsi="Candara" w:cs="Candar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EA"/>
    <w:rsid w:val="004228DD"/>
    <w:rsid w:val="005350E8"/>
    <w:rsid w:val="0055556D"/>
    <w:rsid w:val="006C49F4"/>
    <w:rsid w:val="006F41FC"/>
    <w:rsid w:val="009326BC"/>
    <w:rsid w:val="00A866B6"/>
    <w:rsid w:val="00BB55EA"/>
    <w:rsid w:val="00CF4C57"/>
    <w:rsid w:val="00D8592F"/>
    <w:rsid w:val="00F2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AADA27"/>
  <w15:chartTrackingRefBased/>
  <w15:docId w15:val="{2585E708-D441-41F5-9669-9BDB7A7A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50E8"/>
    <w:pPr>
      <w:keepNext/>
      <w:keepLines/>
      <w:numPr>
        <w:numId w:val="1"/>
      </w:numPr>
      <w:spacing w:before="240" w:after="240"/>
      <w:ind w:left="0" w:firstLine="0"/>
      <w:jc w:val="center"/>
      <w:outlineLvl w:val="0"/>
    </w:pPr>
    <w:rPr>
      <w:rFonts w:eastAsiaTheme="majorEastAsia" w:cstheme="majorBidi"/>
      <w:b/>
      <w:color w:val="00ADD0"/>
      <w:sz w:val="32"/>
      <w:szCs w:val="32"/>
      <w:u w:val="doub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50E8"/>
    <w:rPr>
      <w:rFonts w:eastAsiaTheme="majorEastAsia" w:cstheme="majorBidi"/>
      <w:b/>
      <w:color w:val="00ADD0"/>
      <w:sz w:val="32"/>
      <w:szCs w:val="32"/>
      <w:u w:val="double"/>
    </w:rPr>
  </w:style>
  <w:style w:type="character" w:styleId="Odkaznakoment">
    <w:name w:val="annotation reference"/>
    <w:uiPriority w:val="99"/>
    <w:semiHidden/>
    <w:unhideWhenUsed/>
    <w:rsid w:val="00BB55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55EA"/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55EA"/>
    <w:rPr>
      <w:rFonts w:eastAsia="Times New Roman" w:cs="Times New Roman"/>
      <w:sz w:val="20"/>
      <w:szCs w:val="20"/>
      <w:lang w:eastAsia="cs-CZ"/>
    </w:rPr>
  </w:style>
  <w:style w:type="character" w:customStyle="1" w:styleId="Nadpis10">
    <w:name w:val="Nadpis #1_"/>
    <w:basedOn w:val="Standardnpsmoodstavce"/>
    <w:link w:val="Nadpis11"/>
    <w:rsid w:val="00BB55EA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BB55EA"/>
    <w:rPr>
      <w:rFonts w:ascii="Candara" w:eastAsia="Candara" w:hAnsi="Candara" w:cs="Candara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BB55EA"/>
    <w:rPr>
      <w:rFonts w:ascii="Candara" w:eastAsia="Candara" w:hAnsi="Candara" w:cs="Candara"/>
      <w:b/>
      <w:bCs/>
      <w:shd w:val="clear" w:color="auto" w:fill="FFFFFF"/>
    </w:rPr>
  </w:style>
  <w:style w:type="paragraph" w:customStyle="1" w:styleId="Nadpis11">
    <w:name w:val="Nadpis #1"/>
    <w:basedOn w:val="Normln"/>
    <w:link w:val="Nadpis10"/>
    <w:rsid w:val="00BB55EA"/>
    <w:pPr>
      <w:widowControl w:val="0"/>
      <w:shd w:val="clear" w:color="auto" w:fill="FFFFFF"/>
      <w:spacing w:after="58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rsid w:val="00BB55EA"/>
    <w:pPr>
      <w:widowControl w:val="0"/>
      <w:shd w:val="clear" w:color="auto" w:fill="FFFFFF"/>
      <w:spacing w:line="300" w:lineRule="auto"/>
    </w:pPr>
    <w:rPr>
      <w:rFonts w:ascii="Candara" w:eastAsia="Candara" w:hAnsi="Candara" w:cs="Candara"/>
    </w:rPr>
  </w:style>
  <w:style w:type="paragraph" w:customStyle="1" w:styleId="Nadpis20">
    <w:name w:val="Nadpis #2"/>
    <w:basedOn w:val="Normln"/>
    <w:link w:val="Nadpis2"/>
    <w:rsid w:val="00BB55EA"/>
    <w:pPr>
      <w:widowControl w:val="0"/>
      <w:shd w:val="clear" w:color="auto" w:fill="FFFFFF"/>
      <w:spacing w:line="300" w:lineRule="auto"/>
      <w:outlineLvl w:val="1"/>
    </w:pPr>
    <w:rPr>
      <w:rFonts w:ascii="Candara" w:eastAsia="Candara" w:hAnsi="Candara" w:cs="Candara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55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5E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5EA"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5EA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55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55EA"/>
  </w:style>
  <w:style w:type="paragraph" w:styleId="Zpat">
    <w:name w:val="footer"/>
    <w:basedOn w:val="Normln"/>
    <w:link w:val="ZpatChar"/>
    <w:uiPriority w:val="99"/>
    <w:unhideWhenUsed/>
    <w:rsid w:val="00BB5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Vyroubalová Naděžda, Ing.</dc:creator>
  <cp:keywords/>
  <dc:description/>
  <cp:lastModifiedBy>Červenková Jana</cp:lastModifiedBy>
  <cp:revision>7</cp:revision>
  <dcterms:created xsi:type="dcterms:W3CDTF">2023-02-10T12:03:00Z</dcterms:created>
  <dcterms:modified xsi:type="dcterms:W3CDTF">2023-05-22T12:44:00Z</dcterms:modified>
</cp:coreProperties>
</file>