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B284" w14:textId="7777777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5C696C8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5E937FD9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5D639ED" w:rsidR="009A0AB7" w:rsidRPr="003A7C31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Pr="00E013BD">
        <w:rPr>
          <w:rFonts w:eastAsia="Calibri"/>
          <w:sz w:val="22"/>
          <w:szCs w:val="22"/>
          <w:lang w:eastAsia="en-US"/>
        </w:rPr>
        <w:tab/>
      </w:r>
      <w:r w:rsidRPr="003A7C31"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Pr="003A7C31">
        <w:rPr>
          <w:rFonts w:eastAsia="Calibri"/>
          <w:sz w:val="22"/>
          <w:szCs w:val="22"/>
          <w:lang w:eastAsia="en-US"/>
        </w:rPr>
        <w:t>m</w:t>
      </w:r>
      <w:r w:rsidR="006168B6" w:rsidRPr="003A7C31">
        <w:rPr>
          <w:rFonts w:eastAsia="Calibri"/>
          <w:sz w:val="22"/>
          <w:szCs w:val="22"/>
          <w:lang w:eastAsia="en-US"/>
        </w:rPr>
        <w:t>iroslav.</w:t>
      </w:r>
      <w:r w:rsidRPr="003A7C31">
        <w:rPr>
          <w:rFonts w:eastAsia="Calibri"/>
          <w:sz w:val="22"/>
          <w:szCs w:val="22"/>
          <w:lang w:eastAsia="en-US"/>
        </w:rPr>
        <w:t>bilanic@slezska.cz – vedoucí odboru technické správy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F65F90">
        <w:rPr>
          <w:rFonts w:eastAsia="Calibri"/>
          <w:sz w:val="22"/>
          <w:szCs w:val="22"/>
          <w:lang w:eastAsia="en-US"/>
        </w:rPr>
        <w:noBreakHyphen/>
        <w:t> </w:t>
      </w:r>
      <w:r w:rsidRPr="003A7C31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CCADED3" w14:textId="62D7794F" w:rsidR="009A0AB7" w:rsidRPr="00982499" w:rsidRDefault="009A0AB7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 xml:space="preserve">Ing. </w:t>
      </w:r>
      <w:r w:rsidR="007E0455" w:rsidRPr="003A7C31">
        <w:rPr>
          <w:rFonts w:eastAsia="Calibri"/>
          <w:sz w:val="22"/>
          <w:szCs w:val="22"/>
          <w:lang w:eastAsia="en-US"/>
        </w:rPr>
        <w:t>David Antl</w:t>
      </w:r>
      <w:r w:rsidRPr="003A7C31">
        <w:rPr>
          <w:rFonts w:eastAsia="Calibri"/>
          <w:sz w:val="22"/>
          <w:szCs w:val="22"/>
          <w:lang w:eastAsia="en-US"/>
        </w:rPr>
        <w:t xml:space="preserve">, tel.: 599 410 </w:t>
      </w:r>
      <w:r w:rsidR="007E0455" w:rsidRPr="003A7C31">
        <w:rPr>
          <w:rFonts w:eastAsia="Calibri"/>
          <w:sz w:val="22"/>
          <w:szCs w:val="22"/>
          <w:lang w:eastAsia="en-US"/>
        </w:rPr>
        <w:t>416</w:t>
      </w:r>
      <w:r w:rsidRPr="003A7C31">
        <w:rPr>
          <w:rFonts w:eastAsia="Calibri"/>
          <w:sz w:val="22"/>
          <w:szCs w:val="22"/>
          <w:lang w:eastAsia="en-US"/>
        </w:rPr>
        <w:t>, mobil: 7</w:t>
      </w:r>
      <w:r w:rsidR="007E0455" w:rsidRPr="003A7C31">
        <w:rPr>
          <w:rFonts w:eastAsia="Calibri"/>
          <w:sz w:val="22"/>
          <w:szCs w:val="22"/>
          <w:lang w:eastAsia="en-US"/>
        </w:rPr>
        <w:t>02</w:t>
      </w:r>
      <w:r w:rsidRPr="003A7C31">
        <w:rPr>
          <w:rFonts w:eastAsia="Calibri"/>
          <w:sz w:val="22"/>
          <w:szCs w:val="22"/>
          <w:lang w:eastAsia="en-US"/>
        </w:rPr>
        <w:t xml:space="preserve"> </w:t>
      </w:r>
      <w:r w:rsidR="007E0455" w:rsidRPr="003A7C31">
        <w:rPr>
          <w:rFonts w:eastAsia="Calibri"/>
          <w:sz w:val="22"/>
          <w:szCs w:val="22"/>
          <w:lang w:eastAsia="en-US"/>
        </w:rPr>
        <w:t>271</w:t>
      </w:r>
      <w:r w:rsidRPr="003A7C31">
        <w:rPr>
          <w:rFonts w:eastAsia="Calibri"/>
          <w:sz w:val="22"/>
          <w:szCs w:val="22"/>
          <w:lang w:eastAsia="en-US"/>
        </w:rPr>
        <w:t xml:space="preserve"> </w:t>
      </w:r>
      <w:r w:rsidR="007E0455" w:rsidRPr="003A7C31">
        <w:rPr>
          <w:rFonts w:eastAsia="Calibri"/>
          <w:sz w:val="22"/>
          <w:szCs w:val="22"/>
          <w:lang w:eastAsia="en-US"/>
        </w:rPr>
        <w:t>599</w:t>
      </w:r>
      <w:r w:rsidRPr="003A7C31">
        <w:rPr>
          <w:rFonts w:eastAsia="Calibri"/>
          <w:sz w:val="22"/>
          <w:szCs w:val="22"/>
          <w:lang w:eastAsia="en-US"/>
        </w:rPr>
        <w:t>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E74371" w:rsidRPr="00D9753F">
        <w:rPr>
          <w:rFonts w:eastAsia="Calibri"/>
          <w:sz w:val="22"/>
          <w:szCs w:val="22"/>
        </w:rPr>
        <w:t>d</w:t>
      </w:r>
      <w:r w:rsidR="006168B6" w:rsidRPr="00D9753F">
        <w:rPr>
          <w:rFonts w:eastAsia="Calibri"/>
          <w:sz w:val="22"/>
          <w:szCs w:val="22"/>
        </w:rPr>
        <w:t>avid.</w:t>
      </w:r>
      <w:r w:rsidR="00E74371" w:rsidRPr="00D9753F">
        <w:rPr>
          <w:rFonts w:eastAsia="Calibri"/>
          <w:sz w:val="22"/>
          <w:szCs w:val="22"/>
        </w:rPr>
        <w:t>antl@slezska.cz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5637674D" w14:textId="2B61B3EA" w:rsidR="002C1198" w:rsidRPr="003A7C31" w:rsidRDefault="002C1198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>Ing. Tomáš Dušek, tel. 599 410 425, mobil 724 676 268, email:</w:t>
      </w:r>
      <w:r w:rsidR="00F65F90">
        <w:rPr>
          <w:rFonts w:eastAsia="Calibri"/>
          <w:sz w:val="22"/>
          <w:szCs w:val="22"/>
          <w:lang w:eastAsia="en-US"/>
        </w:rPr>
        <w:t> </w:t>
      </w:r>
      <w:hyperlink r:id="rId8" w:history="1"/>
      <w:r w:rsidR="00F65F90" w:rsidRPr="00E33185">
        <w:rPr>
          <w:rFonts w:eastAsia="Calibri"/>
        </w:rPr>
        <w:t>tomas.dusek@slezska.cz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77777777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lastRenderedPageBreak/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31BE45B4" w:rsidR="00DD296E" w:rsidRPr="003C374B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</w:t>
      </w:r>
      <w:r w:rsidR="00931F0B">
        <w:rPr>
          <w:color w:val="auto"/>
          <w:sz w:val="22"/>
          <w:szCs w:val="22"/>
        </w:rPr>
        <w:t xml:space="preserve">, </w:t>
      </w:r>
      <w:r w:rsidR="0044630A" w:rsidRPr="0022198C">
        <w:rPr>
          <w:color w:val="auto"/>
          <w:sz w:val="22"/>
          <w:szCs w:val="22"/>
        </w:rPr>
        <w:t>údržby</w:t>
      </w:r>
      <w:r w:rsidR="00CA24C9">
        <w:rPr>
          <w:color w:val="auto"/>
          <w:sz w:val="22"/>
          <w:szCs w:val="22"/>
        </w:rPr>
        <w:t>,</w:t>
      </w:r>
      <w:r w:rsidR="00931F0B">
        <w:rPr>
          <w:color w:val="auto"/>
          <w:sz w:val="22"/>
          <w:szCs w:val="22"/>
        </w:rPr>
        <w:t xml:space="preserve"> rekonstrukce</w:t>
      </w:r>
      <w:r w:rsidRPr="0022198C">
        <w:rPr>
          <w:color w:val="auto"/>
          <w:sz w:val="22"/>
          <w:szCs w:val="22"/>
        </w:rPr>
        <w:t xml:space="preserve"> </w:t>
      </w:r>
      <w:r w:rsidR="00CA24C9">
        <w:rPr>
          <w:color w:val="auto"/>
          <w:sz w:val="22"/>
          <w:szCs w:val="22"/>
        </w:rPr>
        <w:t xml:space="preserve">a modernizace </w:t>
      </w:r>
      <w:r w:rsidRPr="0022198C">
        <w:rPr>
          <w:color w:val="auto"/>
          <w:sz w:val="22"/>
          <w:szCs w:val="22"/>
        </w:rPr>
        <w:t>domovního a</w:t>
      </w:r>
      <w:r w:rsidR="00931F0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DD296E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DD296E">
        <w:rPr>
          <w:color w:val="auto"/>
          <w:sz w:val="22"/>
          <w:szCs w:val="22"/>
        </w:rPr>
        <w:t xml:space="preserve"> truhlářské</w:t>
      </w:r>
      <w:r w:rsidR="00DD296E" w:rsidRPr="003C374B">
        <w:rPr>
          <w:color w:val="auto"/>
          <w:sz w:val="22"/>
          <w:szCs w:val="22"/>
        </w:rPr>
        <w:t xml:space="preserve"> práce.</w:t>
      </w:r>
    </w:p>
    <w:p w14:paraId="75355D09" w14:textId="5E3FEA6D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DD296E" w:rsidRPr="009F400E">
        <w:rPr>
          <w:sz w:val="22"/>
          <w:szCs w:val="22"/>
        </w:rPr>
        <w:t>„Oprava</w:t>
      </w:r>
      <w:r w:rsidR="00931F0B">
        <w:rPr>
          <w:sz w:val="22"/>
          <w:szCs w:val="22"/>
        </w:rPr>
        <w:t>,</w:t>
      </w:r>
      <w:r w:rsidR="00DD296E" w:rsidRPr="009F400E">
        <w:rPr>
          <w:sz w:val="22"/>
          <w:szCs w:val="22"/>
        </w:rPr>
        <w:t xml:space="preserve"> údržba</w:t>
      </w:r>
      <w:r w:rsidR="00CA24C9">
        <w:rPr>
          <w:sz w:val="22"/>
          <w:szCs w:val="22"/>
        </w:rPr>
        <w:t>,</w:t>
      </w:r>
      <w:r w:rsidR="00931F0B">
        <w:rPr>
          <w:sz w:val="22"/>
          <w:szCs w:val="22"/>
        </w:rPr>
        <w:t xml:space="preserve"> rekonstrukce</w:t>
      </w:r>
      <w:r w:rsidR="00DD296E" w:rsidRPr="009F400E">
        <w:rPr>
          <w:sz w:val="22"/>
          <w:szCs w:val="22"/>
        </w:rPr>
        <w:t xml:space="preserve"> </w:t>
      </w:r>
      <w:r w:rsidR="00CA24C9">
        <w:rPr>
          <w:sz w:val="22"/>
          <w:szCs w:val="22"/>
        </w:rPr>
        <w:t xml:space="preserve">a modernizace </w:t>
      </w:r>
      <w:r w:rsidR="00DD296E" w:rsidRPr="009F400E">
        <w:rPr>
          <w:sz w:val="22"/>
          <w:szCs w:val="22"/>
        </w:rPr>
        <w:t xml:space="preserve">domovního a bytového fondu v majetku Statutárního města Ostrava, svěřeného městskému obvodu Slezská Ostrava, obor </w:t>
      </w:r>
      <w:r w:rsidR="00DD296E">
        <w:rPr>
          <w:sz w:val="22"/>
          <w:szCs w:val="22"/>
        </w:rPr>
        <w:t>truhlářské</w:t>
      </w:r>
      <w:r w:rsidR="00DD296E" w:rsidRPr="003C374B">
        <w:rPr>
          <w:sz w:val="22"/>
          <w:szCs w:val="22"/>
        </w:rPr>
        <w:t xml:space="preserve"> práce.</w:t>
      </w:r>
      <w:r w:rsidR="00F71768">
        <w:rPr>
          <w:sz w:val="22"/>
          <w:szCs w:val="22"/>
        </w:rPr>
        <w:t>“</w:t>
      </w:r>
      <w:r w:rsidR="00DD296E" w:rsidRPr="003C374B">
        <w:rPr>
          <w:sz w:val="22"/>
          <w:szCs w:val="22"/>
        </w:rPr>
        <w:t xml:space="preserve"> </w:t>
      </w:r>
      <w:r w:rsidR="0077683B" w:rsidRPr="003C374B">
        <w:rPr>
          <w:sz w:val="22"/>
          <w:szCs w:val="22"/>
        </w:rPr>
        <w:t>(ID</w:t>
      </w:r>
      <w:r w:rsidR="00F65F90">
        <w:rPr>
          <w:sz w:val="22"/>
          <w:szCs w:val="22"/>
        </w:rPr>
        <w:t> </w:t>
      </w:r>
      <w:r w:rsidR="0077683B" w:rsidRPr="003C374B">
        <w:rPr>
          <w:sz w:val="22"/>
          <w:szCs w:val="22"/>
        </w:rPr>
        <w:t>zakázky: ……………</w:t>
      </w:r>
      <w:proofErr w:type="gramStart"/>
      <w:r w:rsidR="0077683B" w:rsidRPr="003C374B">
        <w:rPr>
          <w:sz w:val="22"/>
          <w:szCs w:val="22"/>
        </w:rPr>
        <w:t>…….</w:t>
      </w:r>
      <w:proofErr w:type="gramEnd"/>
      <w:r w:rsidR="00EA1169" w:rsidRPr="003C374B">
        <w:rPr>
          <w:sz w:val="22"/>
          <w:szCs w:val="22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1B3F28C5" w14:textId="7224A060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>Smlouvy, že</w:t>
      </w:r>
      <w:r w:rsidR="00931F0B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5511504E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>bjednateli nebo třetí osobě do výše pojistného plnění 500.000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F65F90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1461A5CC" w14:textId="1442B214" w:rsidR="00DD296E" w:rsidRPr="0015290F" w:rsidRDefault="00DD296E" w:rsidP="00DD296E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pro Objednatele provést </w:t>
      </w:r>
      <w:r w:rsidR="00F71768">
        <w:rPr>
          <w:bCs/>
          <w:sz w:val="22"/>
          <w:szCs w:val="22"/>
        </w:rPr>
        <w:t xml:space="preserve">svým vlastním jménem, </w:t>
      </w:r>
      <w:r w:rsidRPr="0015290F">
        <w:rPr>
          <w:bCs/>
          <w:sz w:val="22"/>
          <w:szCs w:val="22"/>
        </w:rPr>
        <w:t>na svůj náklad a nebezpečí dílo spočívající v</w:t>
      </w:r>
      <w:r w:rsidR="00931F0B">
        <w:rPr>
          <w:bCs/>
          <w:sz w:val="22"/>
          <w:szCs w:val="22"/>
        </w:rPr>
        <w:t> </w:t>
      </w:r>
      <w:r w:rsidRPr="0015290F">
        <w:rPr>
          <w:bCs/>
          <w:sz w:val="22"/>
          <w:szCs w:val="22"/>
        </w:rPr>
        <w:t>opravě</w:t>
      </w:r>
      <w:r w:rsidR="00931F0B">
        <w:rPr>
          <w:bCs/>
          <w:sz w:val="22"/>
          <w:szCs w:val="22"/>
        </w:rPr>
        <w:t>,</w:t>
      </w:r>
      <w:r w:rsidRPr="0015290F">
        <w:rPr>
          <w:bCs/>
          <w:sz w:val="22"/>
          <w:szCs w:val="22"/>
        </w:rPr>
        <w:t xml:space="preserve"> údržbě</w:t>
      </w:r>
      <w:r w:rsidR="00CA24C9">
        <w:rPr>
          <w:bCs/>
          <w:sz w:val="22"/>
          <w:szCs w:val="22"/>
        </w:rPr>
        <w:t>,</w:t>
      </w:r>
      <w:r w:rsidR="00931F0B">
        <w:rPr>
          <w:bCs/>
          <w:sz w:val="22"/>
          <w:szCs w:val="22"/>
        </w:rPr>
        <w:t xml:space="preserve"> rekonstrukci</w:t>
      </w:r>
      <w:r w:rsidRPr="0015290F">
        <w:rPr>
          <w:bCs/>
          <w:sz w:val="22"/>
          <w:szCs w:val="22"/>
        </w:rPr>
        <w:t xml:space="preserve"> </w:t>
      </w:r>
      <w:r w:rsidR="00CA24C9">
        <w:rPr>
          <w:bCs/>
          <w:sz w:val="22"/>
          <w:szCs w:val="22"/>
        </w:rPr>
        <w:t xml:space="preserve">a modernizaci </w:t>
      </w:r>
      <w:r w:rsidRPr="0015290F">
        <w:rPr>
          <w:bCs/>
          <w:sz w:val="22"/>
          <w:szCs w:val="22"/>
        </w:rPr>
        <w:t xml:space="preserve">domovního a bytového fondu v majetku Objednatele v oboru </w:t>
      </w:r>
      <w:r>
        <w:rPr>
          <w:bCs/>
          <w:sz w:val="22"/>
          <w:szCs w:val="22"/>
        </w:rPr>
        <w:t>truhlářské</w:t>
      </w:r>
      <w:r w:rsidRPr="003C374B">
        <w:rPr>
          <w:bCs/>
          <w:sz w:val="22"/>
          <w:szCs w:val="22"/>
        </w:rPr>
        <w:t xml:space="preserve"> práce</w:t>
      </w:r>
      <w:r w:rsidRPr="003C374B">
        <w:rPr>
          <w:sz w:val="22"/>
          <w:szCs w:val="22"/>
        </w:rPr>
        <w:t>, přičemž se jedná zejména o</w:t>
      </w:r>
      <w:r>
        <w:rPr>
          <w:sz w:val="22"/>
          <w:szCs w:val="22"/>
        </w:rPr>
        <w:t xml:space="preserve"> </w:t>
      </w:r>
      <w:r w:rsidRPr="00282724">
        <w:rPr>
          <w:sz w:val="22"/>
          <w:szCs w:val="22"/>
        </w:rPr>
        <w:t xml:space="preserve">výrobu, instalaci a opravu </w:t>
      </w:r>
      <w:r w:rsidRPr="00A578D9">
        <w:rPr>
          <w:sz w:val="22"/>
          <w:szCs w:val="22"/>
        </w:rPr>
        <w:t xml:space="preserve">truhlářských konstrukcí (dřevěná okna a dveře včetně rámů, zárubní a obložek, dřevěná madla, kuchyňské linky, vestavěné skříně, podlahy </w:t>
      </w:r>
      <w:r w:rsidR="00691AFA">
        <w:rPr>
          <w:sz w:val="22"/>
          <w:szCs w:val="22"/>
        </w:rPr>
        <w:t>povlakové</w:t>
      </w:r>
      <w:r w:rsidR="00697207">
        <w:rPr>
          <w:sz w:val="22"/>
          <w:szCs w:val="22"/>
        </w:rPr>
        <w:t>, lepené</w:t>
      </w:r>
      <w:r w:rsidR="00691AFA">
        <w:rPr>
          <w:sz w:val="22"/>
          <w:szCs w:val="22"/>
        </w:rPr>
        <w:t xml:space="preserve"> a podlahy skládané včetně podkladních vrstev </w:t>
      </w:r>
      <w:r w:rsidRPr="00A578D9">
        <w:rPr>
          <w:sz w:val="22"/>
          <w:szCs w:val="22"/>
        </w:rPr>
        <w:t>na bázi dřevěných materiálů – palubky, parkety, plovoucí podlahy, dřevěné obklady), související zednické a</w:t>
      </w:r>
      <w:r w:rsidR="00F65F90">
        <w:rPr>
          <w:sz w:val="22"/>
          <w:szCs w:val="22"/>
        </w:rPr>
        <w:t> </w:t>
      </w:r>
      <w:r w:rsidRPr="00A578D9">
        <w:rPr>
          <w:sz w:val="22"/>
          <w:szCs w:val="22"/>
        </w:rPr>
        <w:t>malířské práce</w:t>
      </w:r>
      <w:r w:rsidRPr="003C374B">
        <w:rPr>
          <w:sz w:val="22"/>
          <w:szCs w:val="22"/>
        </w:rPr>
        <w:t xml:space="preserve">  apod. </w:t>
      </w:r>
      <w:r w:rsidRPr="003C374B">
        <w:rPr>
          <w:bCs/>
          <w:sz w:val="22"/>
          <w:szCs w:val="22"/>
        </w:rPr>
        <w:t xml:space="preserve">(dále jen </w:t>
      </w:r>
      <w:r w:rsidRPr="003C374B">
        <w:rPr>
          <w:bCs/>
          <w:i/>
          <w:sz w:val="22"/>
          <w:szCs w:val="22"/>
        </w:rPr>
        <w:t>„</w:t>
      </w:r>
      <w:r w:rsidRPr="003C374B">
        <w:rPr>
          <w:b/>
          <w:bCs/>
          <w:i/>
          <w:sz w:val="22"/>
          <w:szCs w:val="22"/>
        </w:rPr>
        <w:t>Dílo</w:t>
      </w:r>
      <w:r w:rsidRPr="003C374B">
        <w:rPr>
          <w:bCs/>
          <w:i/>
          <w:sz w:val="22"/>
          <w:szCs w:val="22"/>
        </w:rPr>
        <w:t xml:space="preserve">“ </w:t>
      </w:r>
      <w:r w:rsidRPr="003C374B">
        <w:rPr>
          <w:bCs/>
          <w:sz w:val="22"/>
          <w:szCs w:val="22"/>
        </w:rPr>
        <w:t>či</w:t>
      </w:r>
      <w:r w:rsidRPr="003C374B">
        <w:rPr>
          <w:bCs/>
          <w:i/>
          <w:sz w:val="22"/>
          <w:szCs w:val="22"/>
        </w:rPr>
        <w:t xml:space="preserve"> „</w:t>
      </w:r>
      <w:r w:rsidRPr="003C374B">
        <w:rPr>
          <w:b/>
          <w:bCs/>
          <w:i/>
          <w:sz w:val="22"/>
          <w:szCs w:val="22"/>
        </w:rPr>
        <w:t>Předmět plnění</w:t>
      </w:r>
      <w:r w:rsidRPr="003C374B">
        <w:rPr>
          <w:bCs/>
          <w:i/>
          <w:sz w:val="22"/>
          <w:szCs w:val="22"/>
        </w:rPr>
        <w:t>“</w:t>
      </w:r>
      <w:r w:rsidRPr="003C374B">
        <w:rPr>
          <w:bCs/>
          <w:sz w:val="22"/>
          <w:szCs w:val="22"/>
        </w:rPr>
        <w:t>).</w:t>
      </w:r>
    </w:p>
    <w:p w14:paraId="79DC7AA0" w14:textId="7D0B5E32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7D17B568" w:rsidR="00673CBE" w:rsidRPr="0022198C" w:rsidRDefault="00105731" w:rsidP="003C0D3E">
      <w:pPr>
        <w:pStyle w:val="Default"/>
        <w:numPr>
          <w:ilvl w:val="0"/>
          <w:numId w:val="49"/>
        </w:numPr>
        <w:ind w:left="425" w:hanging="425"/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</w:t>
      </w:r>
      <w:r w:rsidR="00562D1A">
        <w:rPr>
          <w:color w:val="auto"/>
          <w:sz w:val="22"/>
          <w:szCs w:val="22"/>
        </w:rPr>
        <w:t xml:space="preserve">této </w:t>
      </w:r>
      <w:r w:rsidR="00673CBE" w:rsidRPr="00666799">
        <w:rPr>
          <w:color w:val="auto"/>
          <w:sz w:val="22"/>
          <w:szCs w:val="22"/>
        </w:rPr>
        <w:t xml:space="preserve">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5725CD">
        <w:rPr>
          <w:color w:val="auto"/>
          <w:sz w:val="22"/>
          <w:szCs w:val="22"/>
        </w:rPr>
        <w:t xml:space="preserve">výši </w:t>
      </w:r>
      <w:r w:rsidR="00DD296E">
        <w:rPr>
          <w:color w:val="auto"/>
          <w:sz w:val="22"/>
          <w:szCs w:val="22"/>
        </w:rPr>
        <w:t>5</w:t>
      </w:r>
      <w:r w:rsidR="009D1AFC" w:rsidRPr="005725CD">
        <w:rPr>
          <w:color w:val="auto"/>
          <w:sz w:val="22"/>
          <w:szCs w:val="22"/>
        </w:rPr>
        <w:t> </w:t>
      </w:r>
      <w:r w:rsidR="00DD296E">
        <w:rPr>
          <w:color w:val="auto"/>
          <w:sz w:val="22"/>
          <w:szCs w:val="22"/>
        </w:rPr>
        <w:t>0</w:t>
      </w:r>
      <w:r w:rsidR="009D1AFC" w:rsidRPr="005725CD">
        <w:rPr>
          <w:color w:val="auto"/>
          <w:sz w:val="22"/>
          <w:szCs w:val="22"/>
        </w:rPr>
        <w:t>00 000</w:t>
      </w:r>
      <w:r w:rsidR="003174F6" w:rsidRPr="005725CD">
        <w:rPr>
          <w:color w:val="auto"/>
          <w:sz w:val="22"/>
          <w:szCs w:val="22"/>
        </w:rPr>
        <w:t>,-</w:t>
      </w:r>
      <w:r w:rsidR="00776939" w:rsidRPr="003C374B">
        <w:rPr>
          <w:color w:val="auto"/>
          <w:sz w:val="22"/>
          <w:szCs w:val="22"/>
        </w:rPr>
        <w:t xml:space="preserve"> </w:t>
      </w:r>
      <w:r w:rsidR="00673CBE" w:rsidRPr="003C374B">
        <w:rPr>
          <w:color w:val="auto"/>
          <w:sz w:val="22"/>
          <w:szCs w:val="22"/>
        </w:rPr>
        <w:t xml:space="preserve">Kč bez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 xml:space="preserve">nejpozději však do dne </w:t>
      </w:r>
      <w:r w:rsidR="009643D6">
        <w:rPr>
          <w:sz w:val="22"/>
          <w:szCs w:val="22"/>
        </w:rPr>
        <w:t>3</w:t>
      </w:r>
      <w:r w:rsidR="007D000B">
        <w:rPr>
          <w:sz w:val="22"/>
          <w:szCs w:val="22"/>
        </w:rPr>
        <w:t>0</w:t>
      </w:r>
      <w:r w:rsidR="009643D6">
        <w:rPr>
          <w:sz w:val="22"/>
          <w:szCs w:val="22"/>
        </w:rPr>
        <w:t xml:space="preserve">. </w:t>
      </w:r>
      <w:r w:rsidR="007D000B">
        <w:rPr>
          <w:sz w:val="22"/>
          <w:szCs w:val="22"/>
        </w:rPr>
        <w:t>6</w:t>
      </w:r>
      <w:r w:rsidR="009643D6">
        <w:rPr>
          <w:sz w:val="22"/>
          <w:szCs w:val="22"/>
        </w:rPr>
        <w:t>. 202</w:t>
      </w:r>
      <w:r w:rsidR="007D000B">
        <w:rPr>
          <w:sz w:val="22"/>
          <w:szCs w:val="22"/>
        </w:rPr>
        <w:t>6</w:t>
      </w:r>
      <w:r w:rsidR="00526F64" w:rsidRPr="003C374B">
        <w:rPr>
          <w:sz w:val="22"/>
          <w:szCs w:val="22"/>
        </w:rPr>
        <w:t>.</w:t>
      </w:r>
    </w:p>
    <w:p w14:paraId="3466FBB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49C40A4" w14:textId="6137233A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1B4F58B1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E74371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4E0A3200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E7437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lastRenderedPageBreak/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73E1CACA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382D9D19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r w:rsidR="00E74371" w:rsidRPr="003C0D3E">
        <w:t>havarie@slezska.cz</w:t>
      </w:r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2F9F2F80" w14:textId="77777777" w:rsidR="00DD296E" w:rsidRDefault="00DD296E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67B897A9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48F08958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87B2E82" w14:textId="77777777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0424DFB5" w14:textId="17D517EA" w:rsidR="00D96C72" w:rsidRDefault="0086030A" w:rsidP="00E33185">
      <w:pPr>
        <w:pStyle w:val="Default"/>
        <w:numPr>
          <w:ilvl w:val="0"/>
          <w:numId w:val="15"/>
        </w:numPr>
        <w:ind w:left="426" w:hanging="426"/>
        <w:jc w:val="both"/>
        <w:rPr>
          <w:rFonts w:ascii="Arial" w:hAnsi="Arial" w:cs="Arial"/>
          <w:b/>
          <w:color w:val="auto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E74371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ED8A54A" w14:textId="77777777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07EBBE1B" w14:textId="06D97135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632B3F08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E74371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77777777" w:rsidR="00285552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17B3B7DB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kdy každá smluvní strana si ponechá 1 takový stejnopis. 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535A8357" w:rsidR="004D0E84" w:rsidRPr="00177F98" w:rsidRDefault="004A24BC" w:rsidP="004A24BC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zúčtovací sazby </w:t>
      </w:r>
      <w:r w:rsidRPr="00682920">
        <w:rPr>
          <w:sz w:val="22"/>
          <w:szCs w:val="22"/>
          <w:shd w:val="clear" w:color="auto" w:fill="FFFF00"/>
        </w:rPr>
        <w:t>……………</w:t>
      </w:r>
      <w:r w:rsidRPr="00177F98">
        <w:rPr>
          <w:sz w:val="22"/>
          <w:szCs w:val="22"/>
        </w:rPr>
        <w:t xml:space="preserve"> Kč bez DPH/hodina/osoba, kdy v ceně je zahrnuta i doprava</w:t>
      </w:r>
      <w:r w:rsidR="003F6C94" w:rsidRPr="00177F98">
        <w:rPr>
          <w:sz w:val="22"/>
          <w:szCs w:val="22"/>
        </w:rPr>
        <w:t xml:space="preserve"> osob a materiálu</w:t>
      </w:r>
      <w:r w:rsidRPr="00177F98">
        <w:rPr>
          <w:sz w:val="22"/>
          <w:szCs w:val="22"/>
        </w:rPr>
        <w:t xml:space="preserve">; </w:t>
      </w:r>
      <w:r w:rsidR="00E73058" w:rsidRPr="000B68AB">
        <w:rPr>
          <w:color w:val="auto"/>
          <w:sz w:val="22"/>
          <w:szCs w:val="22"/>
        </w:rPr>
        <w:t>k takto stanovené ceně bude připočtena hodnota dodávek materiálu použitého při</w:t>
      </w:r>
      <w:r w:rsidR="00E74371">
        <w:rPr>
          <w:color w:val="auto"/>
          <w:sz w:val="22"/>
          <w:szCs w:val="22"/>
        </w:rPr>
        <w:t> </w:t>
      </w:r>
      <w:r w:rsidR="00E73058" w:rsidRPr="000B68AB">
        <w:rPr>
          <w:color w:val="auto"/>
          <w:sz w:val="22"/>
          <w:szCs w:val="22"/>
        </w:rPr>
        <w:t>realizaci jednotlivé části Díla (pořizovací náklady v místě a čase obvyklé) a skutečně vynaložené náklady na odvoz demontovaného materiálu a odpadu včetně uložení na skládku (doložené příslušným dokladem)</w:t>
      </w:r>
    </w:p>
    <w:p w14:paraId="672344E3" w14:textId="4C50B4FF" w:rsidR="004A24BC" w:rsidRPr="004A24BC" w:rsidRDefault="004A24BC" w:rsidP="004A24BC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8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lastRenderedPageBreak/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65033091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F65F90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5FA8E2D5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66B0C3B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0A829C91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26B2040C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5873D803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0549A576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2616031D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53646FE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52BE2DF1" w14:textId="4F25CC1B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64F54765" w14:textId="781403D1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30C0ED85" w14:textId="3582421B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6DC70E15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21D9F2AD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1CFB20B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Zhotovitele povinnosti splnit smluvenou povinnost smluvní pokutou utvrzenou. </w:t>
      </w:r>
    </w:p>
    <w:p w14:paraId="17F86121" w14:textId="5F3DE9DA" w:rsidR="00E73058" w:rsidRDefault="00444AA7" w:rsidP="005A03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7F0A7404" w:rsidR="00A20BA0" w:rsidRPr="00E73058" w:rsidRDefault="00444AA7" w:rsidP="005A03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>Smluvní pokuty je objednatel oprávněn započíst proti pohledávce Zhotovitele</w:t>
      </w:r>
    </w:p>
    <w:p w14:paraId="7A42A278" w14:textId="48B8AA43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38872027" w14:textId="0658084A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39470434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5354E998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137CA2BF" w14:textId="34CD482D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654146CE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77777777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02EF76BF" w14:textId="2509DE22" w:rsidR="00231D0F" w:rsidRDefault="00690397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22198C">
        <w:rPr>
          <w:sz w:val="22"/>
          <w:szCs w:val="22"/>
        </w:rPr>
        <w:t xml:space="preserve">Smlouva je vyhotovena v </w:t>
      </w:r>
      <w:r w:rsidR="00231D0F">
        <w:rPr>
          <w:sz w:val="22"/>
          <w:szCs w:val="22"/>
        </w:rPr>
        <w:t>3</w:t>
      </w:r>
      <w:r w:rsidR="00231D0F" w:rsidRPr="0022198C">
        <w:rPr>
          <w:sz w:val="22"/>
          <w:szCs w:val="22"/>
        </w:rPr>
        <w:t xml:space="preserve"> stejnopisech, každý s platností originálu, z nichž si Objednatel ponechá </w:t>
      </w:r>
      <w:r w:rsidR="00231D0F">
        <w:rPr>
          <w:sz w:val="22"/>
          <w:szCs w:val="22"/>
        </w:rPr>
        <w:t>2</w:t>
      </w:r>
      <w:r w:rsidR="00231D0F" w:rsidRPr="0022198C">
        <w:rPr>
          <w:sz w:val="22"/>
          <w:szCs w:val="22"/>
        </w:rPr>
        <w:t xml:space="preserve"> stejnopisy podepsané oprávněnými zástupci smluvních stran a Zhotovitel </w:t>
      </w:r>
      <w:r w:rsidR="00231D0F">
        <w:rPr>
          <w:sz w:val="22"/>
          <w:szCs w:val="22"/>
        </w:rPr>
        <w:t>1</w:t>
      </w:r>
      <w:r w:rsidR="00231D0F" w:rsidRPr="0022198C">
        <w:rPr>
          <w:sz w:val="22"/>
          <w:szCs w:val="22"/>
        </w:rPr>
        <w:t xml:space="preserve"> takov</w:t>
      </w:r>
      <w:r w:rsidR="00231D0F">
        <w:rPr>
          <w:sz w:val="22"/>
          <w:szCs w:val="22"/>
        </w:rPr>
        <w:t>ý</w:t>
      </w:r>
      <w:r w:rsidR="00231D0F" w:rsidRPr="0022198C">
        <w:rPr>
          <w:sz w:val="22"/>
          <w:szCs w:val="22"/>
        </w:rPr>
        <w:t>to stejnopis.</w:t>
      </w:r>
    </w:p>
    <w:p w14:paraId="2AF0A6C5" w14:textId="11544CBE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681BA31" w14:textId="650D47FC" w:rsidR="007201B0" w:rsidRDefault="00C11A4E" w:rsidP="00E33185">
      <w:pPr>
        <w:numPr>
          <w:ilvl w:val="0"/>
          <w:numId w:val="18"/>
        </w:numPr>
        <w:ind w:left="426" w:right="42" w:hanging="426"/>
        <w:jc w:val="both"/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12D9F21A" w14:textId="77777777" w:rsidR="00F65F90" w:rsidRDefault="00F65F90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74131A9" w14:textId="26B89933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5BA5404B" w:rsidR="001F229B" w:rsidRDefault="00A1643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6DA07115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A16436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2FA0090A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7D4A2F41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DE13" w14:textId="77777777" w:rsidR="00434EF8" w:rsidRDefault="00434EF8">
      <w:r>
        <w:separator/>
      </w:r>
    </w:p>
  </w:endnote>
  <w:endnote w:type="continuationSeparator" w:id="0">
    <w:p w14:paraId="4296166A" w14:textId="77777777" w:rsidR="00434EF8" w:rsidRDefault="004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3A6C58BB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240BC0">
      <w:rPr>
        <w:rFonts w:ascii="Arial" w:hAnsi="Arial" w:cs="Arial"/>
        <w:color w:val="2E74B5"/>
        <w:sz w:val="16"/>
        <w:szCs w:val="16"/>
        <w:lang w:val="cs-CZ"/>
      </w:rPr>
      <w:t>truhlářské práce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D86E" w14:textId="77777777" w:rsidR="00434EF8" w:rsidRDefault="00434EF8">
      <w:r>
        <w:separator/>
      </w:r>
    </w:p>
  </w:footnote>
  <w:footnote w:type="continuationSeparator" w:id="0">
    <w:p w14:paraId="1B4B9FA8" w14:textId="77777777" w:rsidR="00434EF8" w:rsidRDefault="0043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884050510">
    <w:abstractNumId w:val="32"/>
  </w:num>
  <w:num w:numId="2" w16cid:durableId="466355954">
    <w:abstractNumId w:val="29"/>
  </w:num>
  <w:num w:numId="3" w16cid:durableId="502739383">
    <w:abstractNumId w:val="21"/>
  </w:num>
  <w:num w:numId="4" w16cid:durableId="18744151">
    <w:abstractNumId w:val="19"/>
  </w:num>
  <w:num w:numId="5" w16cid:durableId="385181919">
    <w:abstractNumId w:val="23"/>
  </w:num>
  <w:num w:numId="6" w16cid:durableId="1809056874">
    <w:abstractNumId w:val="8"/>
  </w:num>
  <w:num w:numId="7" w16cid:durableId="1152912587">
    <w:abstractNumId w:val="1"/>
  </w:num>
  <w:num w:numId="8" w16cid:durableId="1067848007">
    <w:abstractNumId w:val="25"/>
  </w:num>
  <w:num w:numId="9" w16cid:durableId="277104777">
    <w:abstractNumId w:val="36"/>
  </w:num>
  <w:num w:numId="10" w16cid:durableId="646325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962063">
    <w:abstractNumId w:val="34"/>
  </w:num>
  <w:num w:numId="12" w16cid:durableId="71507379">
    <w:abstractNumId w:val="42"/>
  </w:num>
  <w:num w:numId="13" w16cid:durableId="1438408232">
    <w:abstractNumId w:val="28"/>
  </w:num>
  <w:num w:numId="14" w16cid:durableId="1732145514">
    <w:abstractNumId w:val="38"/>
  </w:num>
  <w:num w:numId="15" w16cid:durableId="1415975745">
    <w:abstractNumId w:val="7"/>
  </w:num>
  <w:num w:numId="16" w16cid:durableId="109059487">
    <w:abstractNumId w:val="17"/>
  </w:num>
  <w:num w:numId="17" w16cid:durableId="998465160">
    <w:abstractNumId w:val="26"/>
  </w:num>
  <w:num w:numId="18" w16cid:durableId="1496342704">
    <w:abstractNumId w:val="20"/>
  </w:num>
  <w:num w:numId="19" w16cid:durableId="1452045089">
    <w:abstractNumId w:val="13"/>
  </w:num>
  <w:num w:numId="20" w16cid:durableId="2121412899">
    <w:abstractNumId w:val="5"/>
  </w:num>
  <w:num w:numId="21" w16cid:durableId="1154447219">
    <w:abstractNumId w:val="41"/>
  </w:num>
  <w:num w:numId="22" w16cid:durableId="16544782">
    <w:abstractNumId w:val="0"/>
  </w:num>
  <w:num w:numId="23" w16cid:durableId="1210141695">
    <w:abstractNumId w:val="11"/>
  </w:num>
  <w:num w:numId="24" w16cid:durableId="823817490">
    <w:abstractNumId w:val="39"/>
  </w:num>
  <w:num w:numId="25" w16cid:durableId="1736200908">
    <w:abstractNumId w:val="18"/>
  </w:num>
  <w:num w:numId="26" w16cid:durableId="1784883609">
    <w:abstractNumId w:val="44"/>
  </w:num>
  <w:num w:numId="27" w16cid:durableId="1872376521">
    <w:abstractNumId w:val="22"/>
  </w:num>
  <w:num w:numId="28" w16cid:durableId="1013413404">
    <w:abstractNumId w:val="16"/>
  </w:num>
  <w:num w:numId="29" w16cid:durableId="1816557391">
    <w:abstractNumId w:val="45"/>
  </w:num>
  <w:num w:numId="30" w16cid:durableId="1518345024">
    <w:abstractNumId w:val="30"/>
  </w:num>
  <w:num w:numId="31" w16cid:durableId="187262405">
    <w:abstractNumId w:val="12"/>
  </w:num>
  <w:num w:numId="32" w16cid:durableId="1494226498">
    <w:abstractNumId w:val="4"/>
  </w:num>
  <w:num w:numId="33" w16cid:durableId="68819856">
    <w:abstractNumId w:val="37"/>
  </w:num>
  <w:num w:numId="34" w16cid:durableId="292977928">
    <w:abstractNumId w:val="35"/>
  </w:num>
  <w:num w:numId="35" w16cid:durableId="1412897055">
    <w:abstractNumId w:val="40"/>
  </w:num>
  <w:num w:numId="36" w16cid:durableId="881594228">
    <w:abstractNumId w:val="43"/>
  </w:num>
  <w:num w:numId="37" w16cid:durableId="849028982">
    <w:abstractNumId w:val="9"/>
  </w:num>
  <w:num w:numId="38" w16cid:durableId="1086684701">
    <w:abstractNumId w:val="46"/>
  </w:num>
  <w:num w:numId="39" w16cid:durableId="2080666862">
    <w:abstractNumId w:val="27"/>
  </w:num>
  <w:num w:numId="40" w16cid:durableId="1659503083">
    <w:abstractNumId w:val="24"/>
  </w:num>
  <w:num w:numId="41" w16cid:durableId="374817076">
    <w:abstractNumId w:val="14"/>
  </w:num>
  <w:num w:numId="42" w16cid:durableId="612249779">
    <w:abstractNumId w:val="15"/>
  </w:num>
  <w:num w:numId="43" w16cid:durableId="1068915775">
    <w:abstractNumId w:val="33"/>
  </w:num>
  <w:num w:numId="44" w16cid:durableId="971715386">
    <w:abstractNumId w:val="2"/>
  </w:num>
  <w:num w:numId="45" w16cid:durableId="1902253668">
    <w:abstractNumId w:val="10"/>
  </w:num>
  <w:num w:numId="46" w16cid:durableId="1760717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00205454">
    <w:abstractNumId w:val="6"/>
  </w:num>
  <w:num w:numId="48" w16cid:durableId="1354650015">
    <w:abstractNumId w:val="31"/>
  </w:num>
  <w:num w:numId="49" w16cid:durableId="170108424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0B15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089"/>
    <w:rsid w:val="001D53F3"/>
    <w:rsid w:val="001D5642"/>
    <w:rsid w:val="001D6819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068"/>
    <w:rsid w:val="0021288B"/>
    <w:rsid w:val="00213F8C"/>
    <w:rsid w:val="0022198C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1ED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1E62"/>
    <w:rsid w:val="003B57E2"/>
    <w:rsid w:val="003B6ABD"/>
    <w:rsid w:val="003C0D3E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056C0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0F75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4CC8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1AFA"/>
    <w:rsid w:val="00692CF2"/>
    <w:rsid w:val="00695A33"/>
    <w:rsid w:val="00697207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000B"/>
    <w:rsid w:val="007D3E53"/>
    <w:rsid w:val="007D3ECB"/>
    <w:rsid w:val="007E0455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1F0B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1685"/>
    <w:rsid w:val="00962427"/>
    <w:rsid w:val="00962ADC"/>
    <w:rsid w:val="009643D6"/>
    <w:rsid w:val="00973DAE"/>
    <w:rsid w:val="00982C8F"/>
    <w:rsid w:val="0098429F"/>
    <w:rsid w:val="009847C5"/>
    <w:rsid w:val="00984A78"/>
    <w:rsid w:val="00986C8E"/>
    <w:rsid w:val="009904E9"/>
    <w:rsid w:val="009921BF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84F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4C9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3C5F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2818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96C72"/>
    <w:rsid w:val="00D9753F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768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5097</Words>
  <Characters>29541</Characters>
  <Application>Microsoft Office Word</Application>
  <DocSecurity>4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34569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Maslowská Michaela</cp:lastModifiedBy>
  <cp:revision>2</cp:revision>
  <cp:lastPrinted>2017-02-09T09:28:00Z</cp:lastPrinted>
  <dcterms:created xsi:type="dcterms:W3CDTF">2023-05-31T08:44:00Z</dcterms:created>
  <dcterms:modified xsi:type="dcterms:W3CDTF">2023-05-31T08:44:00Z</dcterms:modified>
</cp:coreProperties>
</file>