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1402020D"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xml:space="preserve">. </w:t>
      </w:r>
      <w:r w:rsidR="00981F3C">
        <w:rPr>
          <w:rFonts w:ascii="Calibri" w:hAnsi="Calibri"/>
          <w:b/>
          <w:caps/>
          <w:szCs w:val="24"/>
        </w:rPr>
        <w:t>č.</w:t>
      </w:r>
      <w:r w:rsidRPr="00D122D9">
        <w:rPr>
          <w:rFonts w:ascii="Calibri" w:hAnsi="Calibri"/>
          <w:b/>
          <w:caps/>
          <w:szCs w:val="24"/>
        </w:rPr>
        <w:t>Objednatele</w:t>
      </w:r>
      <w:r w:rsidR="00981F3C">
        <w:rPr>
          <w:rFonts w:ascii="Calibri" w:hAnsi="Calibri"/>
          <w:b/>
          <w:caps/>
          <w:szCs w:val="24"/>
        </w:rPr>
        <w:t xml:space="preserve"> 05-255/2023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4E2420D0"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w:t>
      </w:r>
      <w:r w:rsidR="00192D94">
        <w:rPr>
          <w:rFonts w:ascii="Calibri" w:hAnsi="Calibri"/>
          <w:sz w:val="22"/>
          <w:szCs w:val="22"/>
        </w:rPr>
        <w:t>0</w:t>
      </w:r>
      <w:r w:rsidRPr="00CE72FD">
        <w:rPr>
          <w:rFonts w:ascii="Calibri" w:hAnsi="Calibri"/>
          <w:sz w:val="22"/>
          <w:szCs w:val="22"/>
        </w:rPr>
        <w:t xml:space="preserve"> </w:t>
      </w:r>
      <w:r w:rsidR="00192D94">
        <w:rPr>
          <w:rFonts w:ascii="Calibri" w:hAnsi="Calibri"/>
          <w:sz w:val="22"/>
          <w:szCs w:val="22"/>
        </w:rPr>
        <w:t>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099003E5"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709EE215"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830F5F">
        <w:rPr>
          <w:rFonts w:asciiTheme="minorHAnsi" w:hAnsiTheme="minorHAnsi" w:cstheme="minorHAnsi"/>
          <w:sz w:val="22"/>
          <w:szCs w:val="22"/>
        </w:rPr>
        <w:t>2.000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1A0FE34" w14:textId="3E7FCD78" w:rsidR="001A4CE6" w:rsidRDefault="00C03832" w:rsidP="007821E4">
      <w:pPr>
        <w:pStyle w:val="Odstavecseseznamem"/>
        <w:numPr>
          <w:ilvl w:val="0"/>
          <w:numId w:val="5"/>
        </w:numPr>
        <w:spacing w:before="60"/>
        <w:ind w:left="567" w:hanging="567"/>
        <w:contextualSpacing w:val="0"/>
        <w:jc w:val="both"/>
        <w:rPr>
          <w:rFonts w:ascii="Calibri" w:hAnsi="Calibri"/>
          <w:sz w:val="22"/>
          <w:szCs w:val="22"/>
        </w:rPr>
      </w:pPr>
      <w:r w:rsidRPr="001A4CE6">
        <w:rPr>
          <w:rFonts w:ascii="Calibri" w:hAnsi="Calibri"/>
          <w:sz w:val="22"/>
          <w:szCs w:val="22"/>
        </w:rPr>
        <w:t>Zhotovitel provede Dílo s potřebnou péčí v ujednaném čase a obstará vše, co je k provedení Díla potřeba.</w:t>
      </w:r>
      <w:r w:rsidR="00A37456" w:rsidRPr="001A4CE6">
        <w:rPr>
          <w:rFonts w:ascii="Calibri" w:hAnsi="Calibri"/>
          <w:sz w:val="22"/>
          <w:szCs w:val="22"/>
        </w:rPr>
        <w:t xml:space="preserve"> </w:t>
      </w:r>
      <w:r w:rsidR="00A37456" w:rsidRPr="001A4CE6">
        <w:rPr>
          <w:rFonts w:ascii="Calibri" w:hAnsi="Calibri"/>
          <w:b/>
          <w:bCs/>
          <w:sz w:val="22"/>
          <w:szCs w:val="22"/>
        </w:rPr>
        <w:t>Smluvní strany se dohodly, že Zhotovitel zejména zabezpečí vhodnou techniku k provádění Díla</w:t>
      </w:r>
      <w:r w:rsidR="00B213DE" w:rsidRPr="001A4CE6">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1A4CE6">
        <w:rPr>
          <w:rFonts w:ascii="Calibri" w:hAnsi="Calibri"/>
          <w:sz w:val="22"/>
          <w:szCs w:val="22"/>
        </w:rPr>
        <w:t>Zhotovitel je povinen dodržet termíny dohodnutých milníků a celkový termín pro splnění díla stanovený v příslušné objednávce nebo touto dohodo</w:t>
      </w:r>
      <w:r w:rsidR="001A4CE6">
        <w:rPr>
          <w:rFonts w:ascii="Calibri" w:hAnsi="Calibri"/>
          <w:sz w:val="22"/>
          <w:szCs w:val="22"/>
        </w:rPr>
        <w:t>u.</w:t>
      </w:r>
      <w:r w:rsidR="001A4CE6" w:rsidRPr="001A4CE6">
        <w:rPr>
          <w:rFonts w:ascii="Calibri" w:hAnsi="Calibri"/>
          <w:sz w:val="22"/>
          <w:szCs w:val="22"/>
        </w:rPr>
        <w:t xml:space="preserve"> </w:t>
      </w:r>
      <w:r w:rsidR="001A4CE6" w:rsidRPr="006725D2">
        <w:rPr>
          <w:rFonts w:ascii="Calibri" w:hAnsi="Calibri"/>
          <w:sz w:val="22"/>
          <w:szCs w:val="22"/>
        </w:rPr>
        <w:t>Smluvní strany se dohodly, že lhůta pro provedení díla</w:t>
      </w:r>
      <w:r w:rsidR="001A4CE6">
        <w:rPr>
          <w:rFonts w:ascii="Calibri" w:hAnsi="Calibri"/>
          <w:sz w:val="22"/>
          <w:szCs w:val="22"/>
        </w:rPr>
        <w:t>, nebude-li stanovena v objednávce,</w:t>
      </w:r>
      <w:r w:rsidR="001A4CE6" w:rsidRPr="006725D2">
        <w:rPr>
          <w:rFonts w:ascii="Calibri" w:hAnsi="Calibri"/>
          <w:sz w:val="22"/>
          <w:szCs w:val="22"/>
        </w:rPr>
        <w:t xml:space="preserve"> je</w:t>
      </w:r>
      <w:r w:rsidR="001A4CE6">
        <w:rPr>
          <w:rFonts w:ascii="Calibri" w:hAnsi="Calibri"/>
          <w:sz w:val="22"/>
          <w:szCs w:val="22"/>
        </w:rPr>
        <w:t xml:space="preserve"> maximálně</w:t>
      </w:r>
      <w:r w:rsidR="001A4CE6" w:rsidRPr="006725D2">
        <w:rPr>
          <w:rFonts w:ascii="Calibri" w:hAnsi="Calibri"/>
          <w:sz w:val="22"/>
          <w:szCs w:val="22"/>
        </w:rPr>
        <w:t xml:space="preserve"> 30 kalendářních dnů od </w:t>
      </w:r>
      <w:r w:rsidR="001A4CE6">
        <w:rPr>
          <w:rFonts w:ascii="Calibri" w:hAnsi="Calibri"/>
          <w:sz w:val="22"/>
          <w:szCs w:val="22"/>
        </w:rPr>
        <w:t xml:space="preserve">doručení </w:t>
      </w:r>
      <w:r w:rsidR="001A4CE6" w:rsidRPr="006725D2">
        <w:rPr>
          <w:rFonts w:ascii="Calibri" w:hAnsi="Calibri"/>
          <w:sz w:val="22"/>
          <w:szCs w:val="22"/>
        </w:rPr>
        <w:t>objednávky</w:t>
      </w:r>
      <w:r w:rsidR="001A4CE6" w:rsidRPr="001A4CE6">
        <w:rPr>
          <w:rFonts w:ascii="Calibri" w:hAnsi="Calibri"/>
          <w:sz w:val="22"/>
          <w:szCs w:val="22"/>
        </w:rPr>
        <w:t xml:space="preserve"> </w:t>
      </w:r>
    </w:p>
    <w:p w14:paraId="5CF3D8D5" w14:textId="32DD5F62" w:rsidR="00FA36FA" w:rsidRPr="001A4CE6" w:rsidRDefault="00FA36FA" w:rsidP="007821E4">
      <w:pPr>
        <w:pStyle w:val="Odstavecseseznamem"/>
        <w:numPr>
          <w:ilvl w:val="0"/>
          <w:numId w:val="5"/>
        </w:numPr>
        <w:spacing w:before="60"/>
        <w:ind w:left="567" w:hanging="567"/>
        <w:contextualSpacing w:val="0"/>
        <w:jc w:val="both"/>
        <w:rPr>
          <w:rFonts w:ascii="Calibri" w:hAnsi="Calibri"/>
          <w:sz w:val="22"/>
          <w:szCs w:val="22"/>
        </w:rPr>
      </w:pPr>
      <w:r w:rsidRPr="001A4CE6">
        <w:rPr>
          <w:rFonts w:ascii="Calibri" w:hAnsi="Calibri"/>
          <w:sz w:val="22"/>
          <w:szCs w:val="22"/>
        </w:rPr>
        <w:t>Dílo bude provedeno v provozovně Objednatele na adrese:</w:t>
      </w:r>
    </w:p>
    <w:p w14:paraId="755EA41D" w14:textId="27CE4D36" w:rsidR="00FA36FA" w:rsidRPr="00C433FD" w:rsidRDefault="00FA36FA" w:rsidP="00C433FD">
      <w:pPr>
        <w:pStyle w:val="Odstavecseseznamem"/>
        <w:numPr>
          <w:ilvl w:val="0"/>
          <w:numId w:val="51"/>
        </w:numPr>
        <w:spacing w:before="60"/>
        <w:ind w:left="993"/>
        <w:jc w:val="both"/>
        <w:rPr>
          <w:rFonts w:ascii="Calibri" w:hAnsi="Calibri"/>
          <w:sz w:val="22"/>
          <w:szCs w:val="22"/>
        </w:rPr>
      </w:pPr>
      <w:r w:rsidRPr="00C433FD">
        <w:rPr>
          <w:rFonts w:ascii="Calibri" w:hAnsi="Calibri"/>
          <w:sz w:val="22"/>
          <w:szCs w:val="22"/>
        </w:rPr>
        <w:t>DPOV, a.s., Husova 635/1b, 75</w:t>
      </w:r>
      <w:r w:rsidR="007A263A">
        <w:rPr>
          <w:rFonts w:ascii="Calibri" w:hAnsi="Calibri"/>
          <w:sz w:val="22"/>
          <w:szCs w:val="22"/>
        </w:rPr>
        <w:t>0 02</w:t>
      </w:r>
      <w:r w:rsidRPr="00C433FD">
        <w:rPr>
          <w:rFonts w:ascii="Calibri" w:hAnsi="Calibri"/>
          <w:sz w:val="22"/>
          <w:szCs w:val="22"/>
        </w:rPr>
        <w:t xml:space="preserve"> PŘEROV</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Existence jakékoliv vady je podstatným porušením Dílčí smlouvy a Objednatel má v souladu s ust.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3415D908"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363D0A" w:rsidRPr="00D135B6">
        <w:rPr>
          <w:rFonts w:asciiTheme="minorHAnsi" w:hAnsiTheme="minorHAnsi" w:cstheme="minorHAnsi"/>
          <w:sz w:val="22"/>
          <w:szCs w:val="22"/>
        </w:rPr>
        <w:t>Rámcová smlouva se stává platnou dnem jejího podpisu poslední ze smluvních stran a účinnou dnem jejího zveřejnění v registru smluv</w:t>
      </w:r>
      <w:r w:rsidR="00363D0A">
        <w:rPr>
          <w:rFonts w:ascii="Calibri" w:hAnsi="Calibri"/>
          <w:sz w:val="22"/>
          <w:szCs w:val="22"/>
        </w:rPr>
        <w:t>.</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contra proferentem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4F6009B"/>
    <w:multiLevelType w:val="hybridMultilevel"/>
    <w:tmpl w:val="E19E0538"/>
    <w:lvl w:ilvl="0" w:tplc="9C74B90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8"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6"/>
  </w:num>
  <w:num w:numId="2" w16cid:durableId="1471094499">
    <w:abstractNumId w:val="44"/>
  </w:num>
  <w:num w:numId="3" w16cid:durableId="68431590">
    <w:abstractNumId w:val="21"/>
  </w:num>
  <w:num w:numId="4" w16cid:durableId="1219634351">
    <w:abstractNumId w:val="41"/>
  </w:num>
  <w:num w:numId="5" w16cid:durableId="538592075">
    <w:abstractNumId w:val="31"/>
  </w:num>
  <w:num w:numId="6" w16cid:durableId="977996142">
    <w:abstractNumId w:val="25"/>
  </w:num>
  <w:num w:numId="7" w16cid:durableId="78334294">
    <w:abstractNumId w:val="32"/>
  </w:num>
  <w:num w:numId="8" w16cid:durableId="606666850">
    <w:abstractNumId w:val="18"/>
  </w:num>
  <w:num w:numId="9" w16cid:durableId="1355040088">
    <w:abstractNumId w:val="29"/>
  </w:num>
  <w:num w:numId="10" w16cid:durableId="566650118">
    <w:abstractNumId w:val="39"/>
  </w:num>
  <w:num w:numId="11" w16cid:durableId="1587422224">
    <w:abstractNumId w:val="28"/>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4"/>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6"/>
  </w:num>
  <w:num w:numId="25" w16cid:durableId="1382821920">
    <w:abstractNumId w:val="46"/>
  </w:num>
  <w:num w:numId="26" w16cid:durableId="1912350721">
    <w:abstractNumId w:val="20"/>
  </w:num>
  <w:num w:numId="27" w16cid:durableId="1445224824">
    <w:abstractNumId w:val="15"/>
  </w:num>
  <w:num w:numId="28" w16cid:durableId="1780876303">
    <w:abstractNumId w:val="45"/>
  </w:num>
  <w:num w:numId="29" w16cid:durableId="2065596065">
    <w:abstractNumId w:val="35"/>
  </w:num>
  <w:num w:numId="30" w16cid:durableId="286206441">
    <w:abstractNumId w:val="48"/>
  </w:num>
  <w:num w:numId="31" w16cid:durableId="1476072307">
    <w:abstractNumId w:val="14"/>
  </w:num>
  <w:num w:numId="32" w16cid:durableId="979917469">
    <w:abstractNumId w:val="34"/>
  </w:num>
  <w:num w:numId="33" w16cid:durableId="1772163975">
    <w:abstractNumId w:val="38"/>
  </w:num>
  <w:num w:numId="34" w16cid:durableId="1529371121">
    <w:abstractNumId w:val="42"/>
  </w:num>
  <w:num w:numId="35" w16cid:durableId="2091476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30"/>
  </w:num>
  <w:num w:numId="37" w16cid:durableId="907619881">
    <w:abstractNumId w:val="22"/>
  </w:num>
  <w:num w:numId="38" w16cid:durableId="140275632">
    <w:abstractNumId w:val="19"/>
  </w:num>
  <w:num w:numId="39" w16cid:durableId="1236089981">
    <w:abstractNumId w:val="33"/>
  </w:num>
  <w:num w:numId="40" w16cid:durableId="1221940037">
    <w:abstractNumId w:val="13"/>
  </w:num>
  <w:num w:numId="41" w16cid:durableId="1388870575">
    <w:abstractNumId w:val="49"/>
  </w:num>
  <w:num w:numId="42" w16cid:durableId="1264999299">
    <w:abstractNumId w:val="40"/>
  </w:num>
  <w:num w:numId="43" w16cid:durableId="1331829124">
    <w:abstractNumId w:val="12"/>
  </w:num>
  <w:num w:numId="44" w16cid:durableId="2048875840">
    <w:abstractNumId w:val="27"/>
  </w:num>
  <w:num w:numId="45" w16cid:durableId="838547348">
    <w:abstractNumId w:val="43"/>
  </w:num>
  <w:num w:numId="46" w16cid:durableId="1329602790">
    <w:abstractNumId w:val="37"/>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7"/>
  </w:num>
  <w:num w:numId="49" w16cid:durableId="1455103701">
    <w:abstractNumId w:val="23"/>
  </w:num>
  <w:num w:numId="50" w16cid:durableId="972901773">
    <w:abstractNumId w:val="17"/>
  </w:num>
  <w:num w:numId="51" w16cid:durableId="2049332858">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2D94"/>
    <w:rsid w:val="001935DE"/>
    <w:rsid w:val="00197453"/>
    <w:rsid w:val="00197DCE"/>
    <w:rsid w:val="001A15D2"/>
    <w:rsid w:val="001A40F2"/>
    <w:rsid w:val="001A4CE6"/>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3D0A"/>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63A"/>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1F3C"/>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33FD"/>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5902</Words>
  <Characters>34707</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7</cp:revision>
  <cp:lastPrinted>2020-07-03T11:42:00Z</cp:lastPrinted>
  <dcterms:created xsi:type="dcterms:W3CDTF">2023-07-19T11:46:00Z</dcterms:created>
  <dcterms:modified xsi:type="dcterms:W3CDTF">2023-09-12T09:29:00Z</dcterms:modified>
</cp:coreProperties>
</file>