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72CB1A2E"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Husova 635/</w:t>
      </w:r>
      <w:proofErr w:type="gramStart"/>
      <w:r w:rsidRPr="005F5BDB">
        <w:rPr>
          <w:rFonts w:ascii="Calibri" w:hAnsi="Calibri" w:cs="Calibri"/>
          <w:sz w:val="22"/>
          <w:szCs w:val="22"/>
        </w:rPr>
        <w:t>1b</w:t>
      </w:r>
      <w:proofErr w:type="gramEnd"/>
      <w:r w:rsidRPr="005F5BDB">
        <w:rPr>
          <w:rFonts w:ascii="Calibri" w:hAnsi="Calibri" w:cs="Calibri"/>
          <w:sz w:val="22"/>
          <w:szCs w:val="22"/>
        </w:rPr>
        <w:t>,</w:t>
      </w:r>
      <w:r w:rsidR="009203DE">
        <w:rPr>
          <w:rFonts w:ascii="Calibri" w:hAnsi="Calibri" w:cs="Calibri"/>
          <w:sz w:val="22"/>
          <w:szCs w:val="22"/>
        </w:rPr>
        <w:t xml:space="preserve"> Přerov I-Město,</w:t>
      </w:r>
      <w:r w:rsidRPr="005F5BDB">
        <w:rPr>
          <w:rFonts w:ascii="Calibri" w:hAnsi="Calibri" w:cs="Calibri"/>
          <w:sz w:val="22"/>
          <w:szCs w:val="22"/>
        </w:rPr>
        <w:t xml:space="preserve"> 75</w:t>
      </w:r>
      <w:r w:rsidR="00655F9D">
        <w:rPr>
          <w:rFonts w:ascii="Calibri" w:hAnsi="Calibri" w:cs="Calibri"/>
          <w:sz w:val="22"/>
          <w:szCs w:val="22"/>
        </w:rPr>
        <w:t>0</w:t>
      </w:r>
      <w:r w:rsidRPr="005F5BDB">
        <w:rPr>
          <w:rFonts w:ascii="Calibri" w:hAnsi="Calibri" w:cs="Calibri"/>
          <w:sz w:val="22"/>
          <w:szCs w:val="22"/>
        </w:rPr>
        <w:t xml:space="preserve"> </w:t>
      </w:r>
      <w:r w:rsidR="00655F9D">
        <w:rPr>
          <w:rFonts w:ascii="Calibri" w:hAnsi="Calibri" w:cs="Calibri"/>
          <w:sz w:val="22"/>
          <w:szCs w:val="22"/>
        </w:rPr>
        <w:t>0</w:t>
      </w:r>
      <w:r w:rsidRPr="005F5BDB">
        <w:rPr>
          <w:rFonts w:ascii="Calibri" w:hAnsi="Calibri" w:cs="Calibri"/>
          <w:sz w:val="22"/>
          <w:szCs w:val="22"/>
        </w:rPr>
        <w:t>2</w:t>
      </w:r>
      <w:r w:rsidR="009203DE">
        <w:rPr>
          <w:rFonts w:ascii="Calibri" w:hAnsi="Calibri" w:cs="Calibri"/>
          <w:sz w:val="22"/>
          <w:szCs w:val="22"/>
        </w:rPr>
        <w:t xml:space="preserve"> Přerov</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05971D75"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114ADBCD"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BF0569">
        <w:rPr>
          <w:rFonts w:ascii="Calibri" w:hAnsi="Calibri" w:cs="Calibri"/>
          <w:sz w:val="22"/>
          <w:szCs w:val="22"/>
        </w:rPr>
        <w:t>, jinak ve lhůtě do 4 pracovních dní ode dne doručení Objednávky</w:t>
      </w:r>
      <w:r w:rsidR="00523554">
        <w:rPr>
          <w:rFonts w:ascii="Calibri" w:hAnsi="Calibri" w:cs="Calibri"/>
          <w:sz w:val="22"/>
          <w:szCs w:val="22"/>
        </w:rPr>
        <w:t>.</w:t>
      </w:r>
      <w:r w:rsidR="00224D88">
        <w:rPr>
          <w:rFonts w:ascii="Calibri" w:hAnsi="Calibri" w:cs="Calibri"/>
          <w:sz w:val="22"/>
          <w:szCs w:val="22"/>
        </w:rPr>
        <w:t xml:space="preserve"> Prodávající prohlašuje, že tato lhůta není příliš krátká a zavazuje se držet takové skladové zásoby, aby byl schopen řádně a včas plnit své povinnosti z Dílčích smluv.</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Veselí nad Moravou Kollárova 1684, PSČ 698 23</w:t>
      </w:r>
    </w:p>
    <w:p w14:paraId="69033889" w14:textId="130B6054"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Přerov, Husova 635/</w:t>
      </w:r>
      <w:proofErr w:type="gramStart"/>
      <w:r w:rsidRPr="00BF0569">
        <w:rPr>
          <w:rFonts w:ascii="Calibri" w:hAnsi="Calibri" w:cs="Calibri"/>
          <w:sz w:val="22"/>
          <w:szCs w:val="22"/>
        </w:rPr>
        <w:t>1b</w:t>
      </w:r>
      <w:proofErr w:type="gramEnd"/>
      <w:r w:rsidRPr="00BF0569">
        <w:rPr>
          <w:rFonts w:ascii="Calibri" w:hAnsi="Calibri" w:cs="Calibri"/>
          <w:sz w:val="22"/>
          <w:szCs w:val="22"/>
        </w:rPr>
        <w:t xml:space="preserve">, </w:t>
      </w:r>
      <w:r w:rsidR="009203DE">
        <w:rPr>
          <w:rFonts w:ascii="Calibri" w:hAnsi="Calibri" w:cs="Calibri"/>
          <w:sz w:val="22"/>
          <w:szCs w:val="22"/>
        </w:rPr>
        <w:t xml:space="preserve">Přerov I-Město, </w:t>
      </w:r>
      <w:r w:rsidRPr="00BF0569">
        <w:rPr>
          <w:rFonts w:ascii="Calibri" w:hAnsi="Calibri" w:cs="Calibri"/>
          <w:sz w:val="22"/>
          <w:szCs w:val="22"/>
        </w:rPr>
        <w:t>75</w:t>
      </w:r>
      <w:r w:rsidR="009203DE">
        <w:rPr>
          <w:rFonts w:ascii="Calibri" w:hAnsi="Calibri" w:cs="Calibri"/>
          <w:sz w:val="22"/>
          <w:szCs w:val="22"/>
        </w:rPr>
        <w:t>0</w:t>
      </w:r>
      <w:r w:rsidRPr="00BF0569">
        <w:rPr>
          <w:rFonts w:ascii="Calibri" w:hAnsi="Calibri" w:cs="Calibri"/>
          <w:sz w:val="22"/>
          <w:szCs w:val="22"/>
        </w:rPr>
        <w:t xml:space="preserve"> </w:t>
      </w:r>
      <w:r w:rsidR="009203DE">
        <w:rPr>
          <w:rFonts w:ascii="Calibri" w:hAnsi="Calibri" w:cs="Calibri"/>
          <w:sz w:val="22"/>
          <w:szCs w:val="22"/>
        </w:rPr>
        <w:t>0</w:t>
      </w:r>
      <w:r w:rsidRPr="00BF0569">
        <w:rPr>
          <w:rFonts w:ascii="Calibri" w:hAnsi="Calibri" w:cs="Calibri"/>
          <w:sz w:val="22"/>
          <w:szCs w:val="22"/>
        </w:rPr>
        <w:t xml:space="preserve">2 </w:t>
      </w:r>
      <w:r w:rsidR="009203DE">
        <w:rPr>
          <w:rFonts w:ascii="Calibri" w:hAnsi="Calibri" w:cs="Calibri"/>
          <w:sz w:val="22"/>
          <w:szCs w:val="22"/>
        </w:rPr>
        <w:t xml:space="preserve">Přerov </w:t>
      </w:r>
      <w:r w:rsidRPr="00BF0569">
        <w:rPr>
          <w:rFonts w:ascii="Calibri" w:hAnsi="Calibri" w:cs="Calibri"/>
          <w:sz w:val="22"/>
          <w:szCs w:val="22"/>
        </w:rPr>
        <w:t>(příp. PPO Valašské Meziříčí)</w:t>
      </w:r>
    </w:p>
    <w:p w14:paraId="29A5900B" w14:textId="78BDCC62" w:rsidR="0096751F"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 xml:space="preserve">DPOV, a.s., PSO Nymburk, Poděbradská 358, PSČ 288 68 </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313C59">
        <w:rPr>
          <w:rFonts w:ascii="Calibri" w:hAnsi="Calibri" w:cs="Calibri"/>
          <w:sz w:val="22"/>
          <w:szCs w:val="22"/>
        </w:rPr>
        <w:t>Ust</w:t>
      </w:r>
      <w:proofErr w:type="spellEnd"/>
      <w:r w:rsidRPr="00313C59">
        <w:rPr>
          <w:rFonts w:ascii="Calibri" w:hAnsi="Calibri" w:cs="Calibri"/>
          <w:sz w:val="22"/>
          <w:szCs w:val="22"/>
        </w:rPr>
        <w: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88D66F2"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037CD">
        <w:rPr>
          <w:rFonts w:ascii="Calibri" w:hAnsi="Calibri" w:cs="Calibri"/>
          <w:sz w:val="22"/>
          <w:szCs w:val="22"/>
        </w:rPr>
        <w:t>eva.susilova</w:t>
      </w:r>
      <w:r w:rsidR="001729CB">
        <w:rPr>
          <w:rFonts w:ascii="Calibri" w:hAnsi="Calibri" w:cs="Calibri"/>
          <w:sz w:val="22"/>
          <w:szCs w:val="22"/>
        </w:rPr>
        <w:t>@</w:t>
      </w:r>
      <w:r w:rsidR="00E037CD">
        <w:rPr>
          <w:rFonts w:ascii="Calibri" w:hAnsi="Calibri" w:cs="Calibri"/>
          <w:sz w:val="22"/>
          <w:szCs w:val="22"/>
        </w:rPr>
        <w:t>selpservis.com</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lastRenderedPageBreak/>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lastRenderedPageBreak/>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w:t>
      </w:r>
      <w:r w:rsidRPr="00FC6028">
        <w:rPr>
          <w:rFonts w:ascii="Calibri" w:hAnsi="Calibri" w:cs="Calibri"/>
          <w:sz w:val="22"/>
          <w:szCs w:val="22"/>
        </w:rPr>
        <w:lastRenderedPageBreak/>
        <w:t xml:space="preserve">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5F9D"/>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3DE"/>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7146</Words>
  <Characters>42257</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6</cp:revision>
  <cp:lastPrinted>2022-12-01T12:51:00Z</cp:lastPrinted>
  <dcterms:created xsi:type="dcterms:W3CDTF">2023-07-27T10:04:00Z</dcterms:created>
  <dcterms:modified xsi:type="dcterms:W3CDTF">2023-08-17T10:09:00Z</dcterms:modified>
</cp:coreProperties>
</file>