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874A2B">
      <w:pPr>
        <w:spacing w:after="240"/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8D0CB7" w:rsidRPr="005E7BCB" w:rsidRDefault="00874A2B" w:rsidP="00770EE1">
      <w:pPr>
        <w:jc w:val="center"/>
        <w:rPr>
          <w:rFonts w:ascii="Arial Narrow" w:hAnsi="Arial Narrow" w:cs="Arial"/>
          <w:sz w:val="36"/>
          <w:szCs w:val="36"/>
        </w:rPr>
      </w:pPr>
      <w:r w:rsidRPr="005E7BCB">
        <w:rPr>
          <w:b/>
          <w:sz w:val="36"/>
          <w:szCs w:val="36"/>
        </w:rPr>
        <w:t>„</w:t>
      </w:r>
      <w:r w:rsidR="005E7BCB" w:rsidRPr="005E7BCB">
        <w:rPr>
          <w:b/>
          <w:sz w:val="36"/>
          <w:szCs w:val="36"/>
        </w:rPr>
        <w:t>ZOO Hodonín – psí útulek</w:t>
      </w:r>
      <w:r w:rsidRPr="005E7BCB">
        <w:rPr>
          <w:b/>
          <w:sz w:val="36"/>
          <w:szCs w:val="36"/>
        </w:rPr>
        <w:t>“</w:t>
      </w: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59220696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proofErr w:type="spellStart"/>
      <w:r w:rsidR="007C14D1" w:rsidRPr="00770EE1">
        <w:rPr>
          <w:rFonts w:ascii="Arial Narrow" w:hAnsi="Arial Narrow" w:cs="Arial"/>
          <w:sz w:val="20"/>
          <w:szCs w:val="20"/>
        </w:rPr>
        <w:t>xxx</w:t>
      </w:r>
      <w:proofErr w:type="spellEnd"/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5E7BCB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</w:t>
            </w:r>
            <w:r w:rsidR="005E7BCB">
              <w:rPr>
                <w:rFonts w:ascii="Arial Narrow" w:hAnsi="Arial Narrow"/>
                <w:sz w:val="14"/>
                <w:szCs w:val="22"/>
              </w:rPr>
              <w:t>23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5E7BCB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</w:t>
            </w:r>
            <w:r w:rsidR="005E7BCB">
              <w:rPr>
                <w:rFonts w:ascii="Arial Narrow" w:hAnsi="Arial Narrow"/>
                <w:sz w:val="14"/>
                <w:szCs w:val="22"/>
              </w:rPr>
              <w:t>24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5E7BCB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</w:t>
            </w:r>
            <w:r w:rsidR="005E7BCB">
              <w:rPr>
                <w:rFonts w:ascii="Arial Narrow" w:hAnsi="Arial Narrow"/>
                <w:sz w:val="14"/>
                <w:szCs w:val="22"/>
              </w:rPr>
              <w:t>25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  <w:bookmarkStart w:id="3" w:name="_GoBack"/>
      <w:bookmarkEnd w:id="3"/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27" w:rsidRDefault="00341B27">
      <w:r>
        <w:separator/>
      </w:r>
    </w:p>
  </w:endnote>
  <w:endnote w:type="continuationSeparator" w:id="0">
    <w:p w:rsidR="00341B27" w:rsidRDefault="0034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5E7BCB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5E7BCB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27" w:rsidRDefault="00341B27">
      <w:r>
        <w:separator/>
      </w:r>
    </w:p>
  </w:footnote>
  <w:footnote w:type="continuationSeparator" w:id="0">
    <w:p w:rsidR="00341B27" w:rsidRDefault="0034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1357B"/>
    <w:rsid w:val="003304EF"/>
    <w:rsid w:val="00332476"/>
    <w:rsid w:val="00341209"/>
    <w:rsid w:val="00341B2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71909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E7BCB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74A2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19E7F96-84C9-4947-B0C3-7F2650C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8AE2B-F659-4742-9AEF-F48726DD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Marcel Džuba</dc:creator>
  <cp:lastModifiedBy>Marcel Džuba</cp:lastModifiedBy>
  <cp:revision>3</cp:revision>
  <cp:lastPrinted>2021-11-29T12:12:00Z</cp:lastPrinted>
  <dcterms:created xsi:type="dcterms:W3CDTF">2021-11-29T12:16:00Z</dcterms:created>
  <dcterms:modified xsi:type="dcterms:W3CDTF">2023-10-19T09:39:00Z</dcterms:modified>
</cp:coreProperties>
</file>