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21DBF5C0"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0A5D42">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5116EAE9"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F17081" w:rsidRPr="00F17081">
        <w:rPr>
          <w:rFonts w:ascii="Calibri" w:hAnsi="Calibri" w:cs="Calibri"/>
          <w:b/>
          <w:bCs/>
          <w:sz w:val="22"/>
          <w:szCs w:val="22"/>
        </w:rPr>
        <w:t>Klinik boxy – nádoby na nebezpečný odpad</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8A309BC"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B76AD5">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lastRenderedPageBreak/>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67545296"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7E5DCD">
        <w:rPr>
          <w:rFonts w:ascii="Calibri" w:hAnsi="Calibri" w:cs="Calibri"/>
          <w:sz w:val="22"/>
          <w:szCs w:val="22"/>
        </w:rPr>
        <w:t xml:space="preserve"> ………….</w:t>
      </w:r>
      <w:r>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53FC99F9"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17081">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Prodávající vystaví fakturu za příslušný kalendářní měsíc za všechny obchody realizované v tomto </w:t>
      </w:r>
      <w:r>
        <w:rPr>
          <w:rFonts w:ascii="Calibri" w:hAnsi="Calibri" w:cs="Calibri"/>
          <w:sz w:val="22"/>
          <w:szCs w:val="22"/>
        </w:rPr>
        <w:lastRenderedPageBreak/>
        <w:t>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AF39EC0" w:rsidR="00F14310" w:rsidRPr="00F17081" w:rsidRDefault="002D218C" w:rsidP="00F17081">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dodávka nebyla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 xml:space="preserve">v souladu </w:t>
      </w:r>
      <w:r w:rsidRPr="00EF0DCB">
        <w:rPr>
          <w:rFonts w:ascii="Calibri" w:hAnsi="Calibri" w:cs="Calibri"/>
          <w:sz w:val="22"/>
          <w:szCs w:val="22"/>
        </w:rPr>
        <w:lastRenderedPageBreak/>
        <w:t>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348C7AF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F17081">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lastRenderedPageBreak/>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A5D42"/>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24626"/>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061C"/>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76AD5"/>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17081"/>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2770</Words>
  <Characters>16098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2023-11-01T08:45:00Z</dcterms:modified>
</cp:coreProperties>
</file>