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783157C" wp14:editId="4ADBE254">
            <wp:simplePos x="0" y="0"/>
            <wp:positionH relativeFrom="margin">
              <wp:posOffset>3873260</wp:posOffset>
            </wp:positionH>
            <wp:positionV relativeFrom="page">
              <wp:posOffset>320220</wp:posOffset>
            </wp:positionV>
            <wp:extent cx="2179320" cy="615315"/>
            <wp:effectExtent l="19050" t="0" r="0" b="0"/>
            <wp:wrapSquare wrapText="bothSides"/>
            <wp:docPr id="5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noProof/>
          <w:lang w:eastAsia="cs-CZ"/>
        </w:rPr>
      </w:pPr>
    </w:p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noProof/>
          <w:lang w:eastAsia="cs-CZ"/>
        </w:rPr>
      </w:pPr>
    </w:p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noProof/>
          <w:lang w:eastAsia="cs-CZ"/>
        </w:rPr>
      </w:pPr>
    </w:p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noProof/>
          <w:lang w:eastAsia="cs-CZ"/>
        </w:rPr>
      </w:pPr>
    </w:p>
    <w:p w:rsidR="005E72CD" w:rsidRDefault="005E72CD" w:rsidP="00603A39">
      <w:pPr>
        <w:spacing w:before="0" w:beforeAutospacing="0" w:after="0" w:afterAutospacing="0"/>
        <w:ind w:left="0" w:right="-1"/>
        <w:jc w:val="both"/>
        <w:rPr>
          <w:rFonts w:ascii="Times New Roman" w:hAnsi="Times New Roman"/>
          <w:sz w:val="22"/>
          <w:szCs w:val="22"/>
        </w:rPr>
      </w:pPr>
    </w:p>
    <w:p w:rsidR="005E72CD" w:rsidRPr="002D7E12" w:rsidRDefault="005E72CD" w:rsidP="005E72CD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F13998">
        <w:rPr>
          <w:i/>
          <w:sz w:val="22"/>
          <w:szCs w:val="22"/>
        </w:rPr>
        <w:t xml:space="preserve">Příloha č. </w:t>
      </w:r>
      <w:r>
        <w:rPr>
          <w:i/>
          <w:sz w:val="22"/>
          <w:szCs w:val="22"/>
        </w:rPr>
        <w:t>3</w:t>
      </w:r>
      <w:r w:rsidRPr="00F13998">
        <w:rPr>
          <w:i/>
          <w:sz w:val="22"/>
          <w:szCs w:val="22"/>
        </w:rPr>
        <w:t xml:space="preserve"> zadávací dokumentace – Technická specifikace předmětu plnění</w:t>
      </w:r>
    </w:p>
    <w:p w:rsidR="00742ED4" w:rsidRPr="00A83DAA" w:rsidRDefault="005E72CD" w:rsidP="00603A39">
      <w:pPr>
        <w:spacing w:before="0" w:beforeAutospacing="0" w:after="0" w:afterAutospacing="0"/>
        <w:ind w:left="0" w:right="-1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C75297B" wp14:editId="15C549D9">
            <wp:simplePos x="0" y="0"/>
            <wp:positionH relativeFrom="page">
              <wp:posOffset>720090</wp:posOffset>
            </wp:positionH>
            <wp:positionV relativeFrom="page">
              <wp:posOffset>434340</wp:posOffset>
            </wp:positionV>
            <wp:extent cx="1866900" cy="504825"/>
            <wp:effectExtent l="19050" t="0" r="0" b="0"/>
            <wp:wrapSquare wrapText="bothSides"/>
            <wp:docPr id="1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79E8" w:rsidRPr="005E72CD" w:rsidRDefault="00A979E8" w:rsidP="00A979E8">
      <w:pPr>
        <w:pStyle w:val="Nadpis1"/>
        <w:rPr>
          <w:rFonts w:cs="Times New Roman"/>
          <w:b/>
          <w:sz w:val="24"/>
          <w:szCs w:val="24"/>
        </w:rPr>
      </w:pPr>
      <w:r w:rsidRPr="005E72CD">
        <w:rPr>
          <w:rFonts w:cs="Times New Roman"/>
          <w:b/>
          <w:sz w:val="24"/>
          <w:szCs w:val="24"/>
        </w:rPr>
        <w:t>Příloha č. 1 Kupní smlouvy – Technická specifikace předmětu plnění</w:t>
      </w:r>
    </w:p>
    <w:p w:rsidR="00A979E8" w:rsidRPr="00C7159F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060D15" w:rsidRPr="00060D15">
        <w:rPr>
          <w:rFonts w:ascii="Times New Roman" w:hAnsi="Times New Roman"/>
          <w:b/>
          <w:sz w:val="22"/>
          <w:szCs w:val="22"/>
        </w:rPr>
        <w:t xml:space="preserve">Dodávka 1 ks nového vozidla do 3,5 t s pracovní plošinou  </w:t>
      </w:r>
    </w:p>
    <w:p w:rsidR="00A979E8" w:rsidRPr="00C7159F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7159F">
        <w:rPr>
          <w:rFonts w:ascii="Times New Roman" w:hAnsi="Times New Roman"/>
          <w:b/>
          <w:sz w:val="22"/>
          <w:szCs w:val="22"/>
        </w:rPr>
        <w:t>Číslo smlouvy objednatele:</w:t>
      </w:r>
      <w:r w:rsidRPr="00C7159F">
        <w:t xml:space="preserve"> </w:t>
      </w:r>
      <w:r w:rsidRPr="00C7159F">
        <w:rPr>
          <w:rFonts w:ascii="Times New Roman" w:hAnsi="Times New Roman"/>
          <w:b/>
          <w:sz w:val="22"/>
          <w:szCs w:val="22"/>
        </w:rPr>
        <w:t>DOD20220467</w:t>
      </w:r>
    </w:p>
    <w:p w:rsidR="00A979E8" w:rsidRPr="00C7159F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7159F">
        <w:rPr>
          <w:rFonts w:ascii="Times New Roman" w:hAnsi="Times New Roman"/>
          <w:b/>
          <w:sz w:val="22"/>
          <w:szCs w:val="22"/>
        </w:rPr>
        <w:t xml:space="preserve">Číslo smlouvy dodavatele: </w:t>
      </w:r>
      <w:r w:rsidRPr="00B03C5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A979E8" w:rsidRPr="00C7159F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7159F">
        <w:rPr>
          <w:rFonts w:ascii="Times New Roman" w:hAnsi="Times New Roman"/>
          <w:b/>
          <w:sz w:val="22"/>
          <w:szCs w:val="22"/>
        </w:rPr>
        <w:t xml:space="preserve">Výrobce: </w:t>
      </w:r>
      <w:r w:rsidRPr="00B03C5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A979E8" w:rsidRPr="00C7159F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7159F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B03C5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A979E8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C7159F">
        <w:rPr>
          <w:rFonts w:ascii="Times New Roman" w:hAnsi="Times New Roman"/>
          <w:b/>
          <w:sz w:val="22"/>
          <w:szCs w:val="22"/>
        </w:rPr>
        <w:t xml:space="preserve">Rok výroby: </w:t>
      </w:r>
      <w:r w:rsidRPr="00B03C5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A979E8" w:rsidRPr="00A83DAA" w:rsidRDefault="00A979E8" w:rsidP="00A979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:rsidR="00A979E8" w:rsidRPr="00AB7CC4" w:rsidRDefault="00A979E8" w:rsidP="00A979E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AB7CC4">
        <w:rPr>
          <w:rFonts w:ascii="Times New Roman" w:hAnsi="Times New Roman"/>
          <w:b/>
          <w:color w:val="FF0000"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FB5DED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A83DAA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10253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3"/>
        <w:gridCol w:w="851"/>
        <w:gridCol w:w="1299"/>
      </w:tblGrid>
      <w:tr w:rsidR="006C4759" w:rsidRPr="00A83DAA" w:rsidTr="00B03C57">
        <w:trPr>
          <w:trHeight w:val="600"/>
        </w:trPr>
        <w:tc>
          <w:tcPr>
            <w:tcW w:w="8103" w:type="dxa"/>
            <w:shd w:val="clear" w:color="auto" w:fill="auto"/>
            <w:vAlign w:val="center"/>
          </w:tcPr>
          <w:p w:rsidR="006C4759" w:rsidRPr="00A83DAA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4759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DF2422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DF2422"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:rsidR="006C4759" w:rsidRPr="00A83DAA" w:rsidRDefault="00DF2422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035F16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035F16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B03C57">
        <w:trPr>
          <w:trHeight w:val="286"/>
        </w:trPr>
        <w:tc>
          <w:tcPr>
            <w:tcW w:w="8103" w:type="dxa"/>
            <w:shd w:val="clear" w:color="auto" w:fill="auto"/>
            <w:vAlign w:val="center"/>
          </w:tcPr>
          <w:p w:rsidR="00814DBA" w:rsidRPr="00A83DA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814DBA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86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emisní norma EURO 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kategorie vozidla N1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min. výkon 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 kW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celková hmotnost vozidla max. </w:t>
            </w:r>
            <w:r>
              <w:rPr>
                <w:rFonts w:ascii="Times New Roman" w:hAnsi="Times New Roman"/>
                <w:sz w:val="22"/>
                <w:szCs w:val="22"/>
              </w:rPr>
              <w:t>3 5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:rsidR="00F72C50" w:rsidRPr="00A61B19" w:rsidRDefault="00F72C50" w:rsidP="00F72C50">
            <w:pPr>
              <w:spacing w:after="0"/>
              <w:ind w:left="0"/>
              <w:rPr>
                <w:rFonts w:ascii="Times New Roman" w:hAnsi="Times New Roman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manuálního spuštění regenerace DPF filtru bez použití diagnost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iky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315968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49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manuální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 možno i automat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 6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. stupňová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4C85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(zadavatel preferuje redukovanou)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24E3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 w:right="43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mechanická nebo elektronická uzávěrka diferenciálu přední i zadní nápravy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24E3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pohon 4 x 4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rychlost na pozemní komunikaci 100 km/h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315968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s posilovačem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nastavení sloupku volantu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multifunkční volant (ovládání rádia atd.)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lastRenderedPageBreak/>
              <w:t>- 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nápravě kotoučové brzdy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83011">
              <w:rPr>
                <w:rFonts w:ascii="Times New Roman" w:hAnsi="Times New Roman"/>
                <w:sz w:val="22"/>
                <w:szCs w:val="22"/>
              </w:rPr>
              <w:t xml:space="preserve">- na </w:t>
            </w:r>
            <w:r>
              <w:rPr>
                <w:rFonts w:ascii="Times New Roman" w:hAnsi="Times New Roman"/>
                <w:sz w:val="22"/>
                <w:szCs w:val="22"/>
              </w:rPr>
              <w:t>zadní nápravě zadavatel preferuje kotoučové brzdy, připouští i bubnové brzdy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F5CB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asistent pro rozjezdy do kopce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protiblokovací systém ABS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tempomat s inteligentním asistentem rychlosti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elektronický stabilizační systém ESP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min. čelní airbagy řidiče a spolujezdce vč. bočních airbagů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Šassi: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31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pokud nebude dodáno vozidlo s celkovou hmotností 3,5t, na vozidle instalováno vzduchové pérování na zadní nápravě vč. zvýšení celkové hmotnosti podvozku na 3,5t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min</w:t>
            </w:r>
            <w:r>
              <w:rPr>
                <w:rFonts w:ascii="Times New Roman" w:hAnsi="Times New Roman"/>
                <w:sz w:val="22"/>
                <w:szCs w:val="22"/>
              </w:rPr>
              <w:t>. 2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místná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04793D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04793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nastavitelné sedadlo řidiče – horizontálně i vertikálně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uzamykatelná schrána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6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40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imobilizér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centrální zamykání s dálkovým ovládáním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elektricky nastavitelná zpětná zrcátka vyhřívaná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vyhřívané čelní a zadní okno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elektricky ovládaná boční okna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autorádio s BT hands free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antikorozní úprava podvozku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příprava pro radiostanici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GPS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(přívod kabeláže, otvor na anténu) - </w:t>
            </w:r>
            <w:r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podléhá schválení kupujícím u vítězného dodavatele (kabeláž s anténou dodá zadavatel)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Elektroinstalace podvozku</w:t>
            </w: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odpojovač baterií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315968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měnič12V/230V s výkonem min. 2kW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315968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osvětlení ložné plochy – reflektor na kabině vozidla 2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315968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47"/>
        </w:trPr>
        <w:tc>
          <w:tcPr>
            <w:tcW w:w="8103" w:type="dxa"/>
            <w:shd w:val="clear" w:color="auto" w:fill="auto"/>
            <w:vAlign w:val="center"/>
          </w:tcPr>
          <w:p w:rsidR="00F72C50" w:rsidRPr="00853C4D" w:rsidRDefault="00F72C50" w:rsidP="00F72C50">
            <w:pPr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soft</w:t>
            </w:r>
            <w:r w:rsidR="00AA4C9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w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ar, který umožňuje optimální nastavení otáček motoru u stojícího vozidla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195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ručně ovládaná regenerace filtru pevných částic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3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motohodiny – běh motoru se zařazeným PTO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33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počítadlo zdvihů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32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denní svícení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přední světla do mlhy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Bezpečnost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podvozku</w:t>
            </w: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06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odpojovač baterií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06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uzamykatelné víko palivové nádrže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25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rampa zpětných zrcátek v závislosti na šířce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25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- 2x zábleskové světlo oranžové barvy v masce chladiče motoru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42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na kab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ině řidiče světelná rampa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provedení LED oranžové barvy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42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světelná rampa v provedení šipky, oranžové barvy v provedení LED na zadní straně nástavby (s možností přepnutí L/P strana a ovládáním z místa řidiče)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mechanická ochrana na podvozku pro ochranu motoru a převodovky proti poškození v terénu (nájezdy mimo vozovku atd.)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after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zábrany proti bočnímu podjetí mezi nápravami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84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after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kamera s přepínáním barevného obrazu na monitor do kabiny ve výhledu řidiče pro sledování prostoru za vozidlem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-212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72C50" w:rsidRPr="00A83DAA" w:rsidTr="00B03C57">
        <w:trPr>
          <w:trHeight w:val="27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lastRenderedPageBreak/>
              <w:t>- vozidlo na pneumatikách s označením M+S, vč. rezervy od jednoho výrobce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odpovídajícím indexem zatížení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2C50" w:rsidRPr="00A83DAA" w:rsidTr="00B03C57">
        <w:trPr>
          <w:trHeight w:val="277"/>
        </w:trPr>
        <w:tc>
          <w:tcPr>
            <w:tcW w:w="8103" w:type="dxa"/>
            <w:shd w:val="clear" w:color="auto" w:fill="auto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zadavatel preferuje uložení rezervy na vozidle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2C50" w:rsidRPr="00A83DAA" w:rsidTr="00B03C57">
        <w:trPr>
          <w:trHeight w:val="27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všechny pneumatiky s jednotným terénním vzorkem pro celoroční provoz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podvozku</w:t>
            </w: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2C50" w:rsidRPr="00A83DAA" w:rsidTr="00B03C57">
        <w:trPr>
          <w:trHeight w:val="111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přední a zadní lapače nečistot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85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odnímatelné pratelné potahy sedadel tmavé barvy (pro pracovníky údržby, např. látkové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budou namontovány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61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gumové koberce v kabině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lékárnička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14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výstražný trojúhelník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obsah 6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kg, práškový s kovovou spouštěcí armaturou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ochranné skříni, uchycený na nástavbě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nářadí na výměnu rezervy včetně zvedáku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tažné zařízení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–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koule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ISO 50 min. 2 000 kg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(zásuvka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12 V, 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7 pólová)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 technickém průkazu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uzamykatelná palivová nádrž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- 2 ks výstražná vesta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Rozměry a hmotnosti podvozku</w:t>
            </w:r>
            <w:r w:rsidRPr="00A83D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: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max. hmotnost vozidla pro jízdu po pozemní komunikaci 3 500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221C59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21C5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max. délka vozidla s nástavbou 5 700 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221C59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21C5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max. průjezdná výška vozidla s nástavbou 3 500 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221C59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21C5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max. šířka ustaveného vozidla 2 400 mm</w:t>
            </w:r>
            <w:r w:rsidRPr="004A3534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21C5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9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podvozek musí umožnit přepravu kompletní osádky (2 osoby), povinnou i požadovanou výbavu a dalších 200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Lakování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podvozku</w:t>
            </w:r>
            <w:r w:rsidRPr="00A83D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: 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07"/>
        </w:trPr>
        <w:tc>
          <w:tcPr>
            <w:tcW w:w="8103" w:type="dxa"/>
            <w:shd w:val="clear" w:color="auto" w:fill="auto"/>
            <w:vAlign w:val="center"/>
          </w:tcPr>
          <w:p w:rsidR="00F72C50" w:rsidRPr="00A83DAA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5A6CF2">
              <w:rPr>
                <w:rFonts w:ascii="Times New Roman" w:eastAsia="Times New Roman" w:hAnsi="Times New Roman"/>
                <w:i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07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Nástavba: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hydraulický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nebo elektrohydraulicky ovládaná pohyblivá zdvihací pracovní plošina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proporcionální ovládání všech pohybů výložníku z koše i dolního ovládání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výložník s kloubovo-teleskopickými rameny, nebo teleskopický s JIB  ramenem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AC6356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nástavba vyrobena </w:t>
            </w:r>
            <w:r w:rsidRPr="007F6CC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dle normy ČSN EN 280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-1</w:t>
            </w:r>
            <w:r w:rsidRPr="007F6CC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;20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23</w:t>
            </w:r>
            <w:r w:rsidRPr="007F6CC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 řídící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Pr="007F6CC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systém splňuje ČSN EN 13849-1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779F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plošina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s dvojitou </w:t>
            </w:r>
            <w:r w:rsidRPr="0022304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izolací pro práci pod napětím</w:t>
            </w:r>
            <w:r w:rsidRPr="007779F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na trakčním vedení tramvajové a trolejbusové dráhy do 1 000 V AC / 1 500 V DC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779F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izolace pracovní plošiny musí splňovat podmínky pro práci na trakčním vedení pod napětím i za mírného deště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474F7B" w:rsidRDefault="00F72C50" w:rsidP="008E593B">
            <w:pPr>
              <w:spacing w:after="0"/>
              <w:ind w:left="0" w:right="15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součástí technické specifikace bude dodání </w:t>
            </w:r>
            <w:r w:rsidR="00520C0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rozměrového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výkresu</w:t>
            </w:r>
            <w:r w:rsidR="00520C0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se základními rozměrovými kótami navrhovaného technického řešení. Z</w:t>
            </w:r>
            <w:r w:rsidR="008E593B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 </w:t>
            </w:r>
            <w:r w:rsidR="00520C0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výkresu</w:t>
            </w:r>
            <w:r w:rsidR="008E593B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bude patrné rozmístění jednotlivých komponentů požadované výbavy.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/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E593B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8E593B" w:rsidRDefault="008E593B" w:rsidP="008E593B">
            <w:pPr>
              <w:spacing w:after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součástí dokumentace bude i uvedení pohotovostní a celkové hmotnosti se zatížením jednotlivých náprav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E593B" w:rsidRPr="00DA359B" w:rsidRDefault="008E593B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E593B" w:rsidRPr="00DA359B" w:rsidRDefault="008E593B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E593B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8E593B" w:rsidRDefault="008E593B" w:rsidP="008E593B">
            <w:pPr>
              <w:spacing w:after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dodavatel předloží i závazný výkres pracovního diagramu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E593B" w:rsidRPr="00DA359B" w:rsidRDefault="008E593B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E593B" w:rsidRPr="00DA359B" w:rsidRDefault="008E593B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08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Parametry nástavby: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min. pracovní výška 13 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min. výška podlahy koše 11 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m</w:t>
            </w:r>
            <w:r w:rsidR="00964B6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in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. stranový dosah koše s plným zatížením 6 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min. nosnost koše 250 kg</w:t>
            </w:r>
            <w:r w:rsidRPr="00704A6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natáčení koše 0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EE1EAE" w:rsidRDefault="00F72C50" w:rsidP="00F72C50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otoč výložníku vč. práce přes kabinu min. 360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</w:tcPr>
          <w:p w:rsidR="00F72C50" w:rsidRPr="002C0EC4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min. rozměry izolovaného pracovního koše  š 1,2 x h 0,7 x v 1,1 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Ostatní: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06CF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>sklolam</w:t>
            </w:r>
            <w:r>
              <w:rPr>
                <w:rFonts w:ascii="Times New Roman" w:hAnsi="Times New Roman"/>
                <w:sz w:val="22"/>
                <w:szCs w:val="22"/>
              </w:rPr>
              <w:t>inátový koš s horní příčkou</w:t>
            </w:r>
            <w:r w:rsidR="00015018">
              <w:rPr>
                <w:rFonts w:ascii="Times New Roman" w:hAnsi="Times New Roman"/>
                <w:sz w:val="22"/>
                <w:szCs w:val="22"/>
              </w:rPr>
              <w:t>, horní hrana koše obložená dřevem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 xml:space="preserve"> + gumová rohož na podlaze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hydraulické, automatické vyrovnávání koše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plastová snímací skříňka na nářadí v pracovním koši min 10 dm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výsuvný válec </w:t>
            </w:r>
            <w:r>
              <w:rPr>
                <w:rFonts w:ascii="Times New Roman" w:hAnsi="Times New Roman"/>
                <w:sz w:val="22"/>
                <w:szCs w:val="22"/>
              </w:rPr>
              <w:t>tele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>skopu namontovaný uvnitř výložníku, nebo pod výložníkem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vnitřní vedení hadic pro maximální ochranu proti poškození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přední i zadní opěry svislé, hydraulicky vysouvané do stran (pracovní polohy)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opěry a sada podložek musí zajistit bezpečnou činnost výložníku při ustavení v náklonu terénu až 10°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protiskluzová hliníková podlaha ložné plochy tl. </w:t>
            </w: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 xml:space="preserve"> 5 mm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5A6CF2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pochozí plechy podlahy uchycené k pomocnému rámu lepením – bez nýtování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snadný přístup do pracovního koše zajištěn protiskluzovými schůdky (nikoli žebříkem)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výstup do koše zajištěn vhodnými madly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ohrádka ložné plochy (výška 120 mm)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4 ks 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>upevňovací</w:t>
            </w:r>
            <w:r>
              <w:rPr>
                <w:rFonts w:ascii="Times New Roman" w:hAnsi="Times New Roman"/>
                <w:sz w:val="22"/>
                <w:szCs w:val="22"/>
              </w:rPr>
              <w:t>ch ok na ložné ploše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5A6CF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start-stop motoru podvozku z koše a z dolního ovládání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>- pokud přesahuje protilehlé rameno přes obrys vozidla musí být na nejv</w:t>
            </w:r>
            <w:r>
              <w:rPr>
                <w:rFonts w:ascii="Times New Roman" w:hAnsi="Times New Roman"/>
                <w:sz w:val="22"/>
                <w:szCs w:val="22"/>
              </w:rPr>
              <w:t>zdálenější čá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 xml:space="preserve">sti od vozidla vybaveno zábleskovým světlem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C5C9F">
              <w:rPr>
                <w:rFonts w:ascii="Times New Roman" w:hAnsi="Times New Roman"/>
                <w:sz w:val="22"/>
                <w:szCs w:val="22"/>
              </w:rPr>
              <w:t xml:space="preserve">- pomocný rám </w:t>
            </w:r>
            <w:r>
              <w:rPr>
                <w:rFonts w:ascii="Times New Roman" w:hAnsi="Times New Roman"/>
                <w:sz w:val="22"/>
                <w:szCs w:val="22"/>
              </w:rPr>
              <w:t>zinkova</w:t>
            </w:r>
            <w:r w:rsidRPr="00EC5C9F">
              <w:rPr>
                <w:rFonts w:ascii="Times New Roman" w:hAnsi="Times New Roman"/>
                <w:sz w:val="22"/>
                <w:szCs w:val="22"/>
              </w:rPr>
              <w:t>ný s následným nástřikem barvou, případně žárově zinkovaný bez nástřiku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zásuvka 230V v koši napájena z frekvenčního měniče napájeného z autobaterie podvozku. Druhá zásuvka umístěna na frekvenčním měniči (uveden ve výbavě podvozku)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oddělovací trafo pro zásuvku 230/230V, bez kastlíku (umístěné v bedně)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- 2 kusy h</w:t>
            </w:r>
            <w:r>
              <w:rPr>
                <w:rFonts w:ascii="Times New Roman" w:hAnsi="Times New Roman"/>
                <w:sz w:val="22"/>
                <w:szCs w:val="22"/>
              </w:rPr>
              <w:t>liníkových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skříň</w:t>
            </w:r>
            <w:r>
              <w:rPr>
                <w:rFonts w:ascii="Times New Roman" w:hAnsi="Times New Roman"/>
                <w:sz w:val="22"/>
                <w:szCs w:val="22"/>
              </w:rPr>
              <w:t>í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ze slzičkového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Al 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>plechu tl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5 mm. Objem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2 x </w:t>
            </w:r>
            <w:r>
              <w:rPr>
                <w:rFonts w:ascii="Times New Roman" w:hAnsi="Times New Roman"/>
                <w:sz w:val="22"/>
                <w:szCs w:val="22"/>
              </w:rPr>
              <w:t>350 dm</w:t>
            </w:r>
            <w:r>
              <w:rPr>
                <w:rFonts w:ascii="Calibri" w:hAnsi="Calibri" w:cs="Calibri"/>
                <w:sz w:val="22"/>
                <w:szCs w:val="22"/>
              </w:rPr>
              <w:t>³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>celkem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 xml:space="preserve"> 700 dm</w:t>
            </w:r>
            <w:r>
              <w:rPr>
                <w:rFonts w:ascii="Calibri" w:hAnsi="Calibri" w:cs="Calibri"/>
                <w:sz w:val="22"/>
                <w:szCs w:val="22"/>
              </w:rPr>
              <w:t>³</w:t>
            </w:r>
            <w:r w:rsidRPr="00E95507">
              <w:rPr>
                <w:rFonts w:ascii="Times New Roman" w:hAnsi="Times New Roman"/>
                <w:sz w:val="22"/>
                <w:szCs w:val="22"/>
              </w:rPr>
              <w:t>. Umístění dveří a rozmístění polic</w:t>
            </w:r>
            <w:r w:rsidRPr="00E9550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</w:t>
            </w:r>
            <w:r w:rsidRPr="00E95507">
              <w:rPr>
                <w:rFonts w:ascii="Times New Roman" w:eastAsia="Times New Roman" w:hAnsi="Times New Roman"/>
                <w:i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LED osvětlení Al skříní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 xml:space="preserve">- 1 kus bedna plastová min 60 l, černá umístění </w:t>
            </w:r>
            <w:r w:rsidRPr="00E95507">
              <w:rPr>
                <w:rFonts w:ascii="Times New Roman" w:eastAsia="Times New Roman" w:hAnsi="Times New Roman"/>
                <w:i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dřevěné podložky pod opěry 4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držák podložek 1x vpravo (pro 2 ks podložek), 1x vlevo (pro 2 ks podložek),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dřevěné klíny pro vyrovnání podložek  2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95507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E95507">
              <w:rPr>
                <w:rFonts w:ascii="Times New Roman" w:hAnsi="Times New Roman"/>
                <w:sz w:val="22"/>
                <w:szCs w:val="22"/>
              </w:rPr>
              <w:t>- trn na uložení a převoz kuželů – zamykatelný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hRule="exact"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b/>
                <w:sz w:val="22"/>
                <w:szCs w:val="22"/>
              </w:rPr>
            </w:pPr>
            <w:r w:rsidRPr="003F6219">
              <w:rPr>
                <w:rFonts w:ascii="Times New Roman" w:hAnsi="Times New Roman"/>
                <w:b/>
                <w:sz w:val="22"/>
                <w:szCs w:val="22"/>
              </w:rPr>
              <w:t>Bezpečnost nástavba: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o</w:t>
            </w:r>
            <w:r w:rsidRPr="00E06CFA">
              <w:rPr>
                <w:rFonts w:ascii="Times New Roman" w:hAnsi="Times New Roman"/>
                <w:sz w:val="22"/>
                <w:szCs w:val="22"/>
              </w:rPr>
              <w:t>ranžové záblesk. LED světla umístěná pod košem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2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15018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015018" w:rsidRDefault="00015018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- oranžové zábleskové LED světlo umístěné pod ramenem uprostřed </w:t>
            </w:r>
            <w:r w:rsidRPr="00E95507">
              <w:rPr>
                <w:rFonts w:ascii="Times New Roman" w:eastAsia="Times New Roman" w:hAnsi="Times New Roman"/>
                <w:i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15018" w:rsidRPr="00DA359B" w:rsidRDefault="00015018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015018" w:rsidRPr="00DA359B" w:rsidRDefault="00015018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015018">
              <w:rPr>
                <w:rFonts w:ascii="Times New Roman" w:hAnsi="Times New Roman"/>
                <w:sz w:val="22"/>
                <w:szCs w:val="22"/>
              </w:rPr>
              <w:t xml:space="preserve">oranžové </w:t>
            </w:r>
            <w:r w:rsidRPr="00C146E9">
              <w:rPr>
                <w:rFonts w:ascii="Times New Roman" w:hAnsi="Times New Roman"/>
                <w:sz w:val="22"/>
                <w:szCs w:val="22"/>
              </w:rPr>
              <w:t>zábleskové LED světlo vzadu (tzv. predátor), 2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- k</w:t>
            </w:r>
            <w:r w:rsidRPr="00E06CFA">
              <w:rPr>
                <w:rFonts w:ascii="Times New Roman" w:hAnsi="Times New Roman"/>
                <w:sz w:val="22"/>
                <w:szCs w:val="22"/>
              </w:rPr>
              <w:t>užel 4 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EC5C9F" w:rsidRDefault="00F72C50" w:rsidP="005175F1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kontrola zasunutí opěr při jízdě signalizovaná v kabině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kontrola protitlaku opěr při ustavení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kontrola vysunutí opěr při činnosti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jednoduché, ručně ovládané nouzové spouštění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všechny hydraulické válce chráněné zpětnými ventily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nouzové spouštění ve skříni ovládání opěr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ručně ovládané dorovnání koše z dolního ovládán i z koše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3F6219">
              <w:rPr>
                <w:rFonts w:ascii="Times New Roman" w:hAnsi="Times New Roman"/>
                <w:sz w:val="22"/>
                <w:szCs w:val="22"/>
              </w:rPr>
              <w:t>- bezpečnostní samolepky a výstražné nápisy v českém jazyce dle ČSN EN 280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b/>
                <w:sz w:val="22"/>
                <w:szCs w:val="22"/>
              </w:rPr>
            </w:pPr>
            <w:r w:rsidRPr="003F6219">
              <w:rPr>
                <w:rFonts w:ascii="Times New Roman" w:hAnsi="Times New Roman"/>
                <w:b/>
                <w:sz w:val="22"/>
                <w:szCs w:val="22"/>
              </w:rPr>
              <w:t>Lakování nástavby: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nástavby světle modrá (odstín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nástavby dle ECE </w:t>
            </w:r>
            <w:r w:rsidRPr="005A6CF2">
              <w:rPr>
                <w:rFonts w:ascii="Times New Roman" w:eastAsia="Times New Roman" w:hAnsi="Times New Roman"/>
                <w:i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454"/>
        </w:trPr>
        <w:tc>
          <w:tcPr>
            <w:tcW w:w="8103" w:type="dxa"/>
            <w:shd w:val="clear" w:color="auto" w:fill="DBE5F1" w:themeFill="accent1" w:themeFillTint="33"/>
            <w:vAlign w:val="center"/>
          </w:tcPr>
          <w:p w:rsidR="00F72C50" w:rsidRPr="003F6219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b/>
                <w:sz w:val="22"/>
                <w:szCs w:val="22"/>
              </w:rPr>
            </w:pPr>
            <w:r w:rsidRPr="003F6219">
              <w:rPr>
                <w:rFonts w:ascii="Times New Roman" w:hAnsi="Times New Roman"/>
                <w:b/>
                <w:sz w:val="22"/>
                <w:szCs w:val="22"/>
              </w:rPr>
              <w:t>Legislativa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dodavatel zajistí</w:t>
            </w:r>
            <w:r w:rsidRPr="003F6219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BE5F1" w:themeFill="accent1" w:themeFillTint="33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návody k obsluze podvozku a přístup k elektronické servisní knize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návody k obsluze nástavby v papírové a elektronické verzi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AC6356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562D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výstupní revize zvedacího zařízení, elektro zařízení včetně průkazů způsobilosti UTZ elektro 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a </w:t>
            </w:r>
            <w:r w:rsidRPr="00D562D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ZZ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7779F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revizní kniha včetně revize a ověřovací zkoušky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C6356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AC6356" w:rsidRPr="00EC5C9F" w:rsidRDefault="00AC6356" w:rsidP="00AC6356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- ES prohlášení o shodě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C6356" w:rsidRPr="00DA359B" w:rsidRDefault="00AC6356" w:rsidP="00D57D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AC6356" w:rsidRPr="00DA359B" w:rsidRDefault="00AC6356" w:rsidP="00D57D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- CE prohlášení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certifikát typu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protokol izolačního stavu kusová zkouška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72C50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 protokol izolačního stavu typová zkouška s potvrzením práce za deště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AC6356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- oprávnění k montáži a opravám vydané 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pověřenou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organizací  dle 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zákona č. 250/2021 Sb.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2C50" w:rsidRPr="00A83DAA" w:rsidTr="00B03C57">
        <w:trPr>
          <w:trHeight w:val="278"/>
        </w:trPr>
        <w:tc>
          <w:tcPr>
            <w:tcW w:w="8103" w:type="dxa"/>
            <w:shd w:val="clear" w:color="auto" w:fill="auto"/>
            <w:vAlign w:val="bottom"/>
          </w:tcPr>
          <w:p w:rsidR="00F72C50" w:rsidRPr="00EC5C9F" w:rsidRDefault="00F72C50" w:rsidP="00F56DA3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vozidlo musí vyhovovat následujícím podmínkám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:                                                                                                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-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vyhlášce </w:t>
            </w:r>
            <w:r w:rsidR="00F56D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153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/20</w:t>
            </w:r>
            <w:r w:rsidR="00F56D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23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Sb. „</w:t>
            </w:r>
            <w:r w:rsidR="00F56D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O s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chvalování technické způsobilosti </w:t>
            </w:r>
            <w:r w:rsidR="00F56D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vozidel 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a technických podmínk</w:t>
            </w:r>
            <w:r w:rsidR="00F56D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ách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provozu vozidel na pozemních komunikacích“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   - 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nařízení vlády ČR 176/2008 Sb., kterým se stanoví technické požadavky na strojní zařízení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562D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ČSN EN 280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-1</w:t>
            </w:r>
            <w:r w:rsidRPr="00D562D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/20</w:t>
            </w:r>
            <w:r w:rsidR="00AC635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23</w:t>
            </w:r>
            <w:r w:rsidRPr="00D562D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pojízdné</w:t>
            </w:r>
            <w:r w:rsidRPr="00D562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zdvihací pracovní plošiny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F72C50" w:rsidRPr="00DA359B" w:rsidRDefault="00F72C50" w:rsidP="00F72C5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DA4A7F" w:rsidRPr="00A83DAA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Default="00751803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Pr="00A83DAA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D64F7B" w:rsidRPr="008546AA" w:rsidRDefault="00D64F7B" w:rsidP="00D64F7B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D64F7B" w:rsidRDefault="00D64F7B" w:rsidP="00D64F7B">
      <w:pPr>
        <w:ind w:left="3540" w:right="70" w:firstLine="708"/>
        <w:rPr>
          <w:rFonts w:ascii="Times New Roman" w:hAnsi="Times New Roman"/>
          <w:i/>
          <w:sz w:val="24"/>
        </w:rPr>
      </w:pPr>
    </w:p>
    <w:p w:rsidR="00D64F7B" w:rsidRPr="00925DE5" w:rsidRDefault="00D64F7B" w:rsidP="00D64F7B">
      <w:pPr>
        <w:ind w:left="0" w:right="70"/>
        <w:rPr>
          <w:rFonts w:ascii="Times New Roman" w:hAnsi="Times New Roman"/>
          <w:i/>
          <w:sz w:val="24"/>
        </w:rPr>
      </w:pPr>
    </w:p>
    <w:p w:rsidR="00D64F7B" w:rsidRPr="00BE0E48" w:rsidRDefault="00D64F7B" w:rsidP="00D64F7B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:rsidR="00D64F7B" w:rsidRPr="000550DF" w:rsidRDefault="00D64F7B" w:rsidP="00D64F7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:rsidR="00D64F7B" w:rsidRPr="000550DF" w:rsidRDefault="00D64F7B" w:rsidP="00D64F7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:rsidR="00D64F7B" w:rsidRDefault="00D64F7B" w:rsidP="00D64F7B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6C4759" w:rsidRPr="00F46977" w:rsidRDefault="006C4759" w:rsidP="00812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rPr>
          <w:rFonts w:ascii="Times New Roman" w:hAnsi="Times New Roman"/>
          <w:sz w:val="22"/>
          <w:szCs w:val="22"/>
        </w:rPr>
      </w:pPr>
    </w:p>
    <w:sectPr w:rsidR="006C4759" w:rsidRPr="00F46977" w:rsidSect="00ED2CE5">
      <w:pgSz w:w="11906" w:h="16838" w:code="9"/>
      <w:pgMar w:top="426" w:right="1134" w:bottom="851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D0" w:rsidRDefault="008327D0">
      <w:r>
        <w:separator/>
      </w:r>
    </w:p>
  </w:endnote>
  <w:endnote w:type="continuationSeparator" w:id="0">
    <w:p w:rsidR="008327D0" w:rsidRDefault="0083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D0" w:rsidRDefault="008327D0">
      <w:r>
        <w:separator/>
      </w:r>
    </w:p>
  </w:footnote>
  <w:footnote w:type="continuationSeparator" w:id="0">
    <w:p w:rsidR="008327D0" w:rsidRDefault="0083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CA2"/>
    <w:multiLevelType w:val="hybridMultilevel"/>
    <w:tmpl w:val="6FD25420"/>
    <w:lvl w:ilvl="0" w:tplc="B1CAFFD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6906BB3"/>
    <w:multiLevelType w:val="hybridMultilevel"/>
    <w:tmpl w:val="D2161030"/>
    <w:lvl w:ilvl="0" w:tplc="E6F4D4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CA68A6"/>
    <w:multiLevelType w:val="hybridMultilevel"/>
    <w:tmpl w:val="6E5A0F50"/>
    <w:lvl w:ilvl="0" w:tplc="3EACC5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9C27B27"/>
    <w:multiLevelType w:val="hybridMultilevel"/>
    <w:tmpl w:val="9FE49C0A"/>
    <w:lvl w:ilvl="0" w:tplc="B2E448A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6597C07"/>
    <w:multiLevelType w:val="hybridMultilevel"/>
    <w:tmpl w:val="33F83B76"/>
    <w:lvl w:ilvl="0" w:tplc="B78E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B4C2C"/>
    <w:multiLevelType w:val="hybridMultilevel"/>
    <w:tmpl w:val="E4C4C85E"/>
    <w:lvl w:ilvl="0" w:tplc="BF9E8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B5A47"/>
    <w:multiLevelType w:val="hybridMultilevel"/>
    <w:tmpl w:val="A1CE0932"/>
    <w:lvl w:ilvl="0" w:tplc="7CB22C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AF13480"/>
    <w:multiLevelType w:val="hybridMultilevel"/>
    <w:tmpl w:val="A8A8E75A"/>
    <w:lvl w:ilvl="0" w:tplc="56A8F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E49BB"/>
    <w:multiLevelType w:val="hybridMultilevel"/>
    <w:tmpl w:val="0A20D410"/>
    <w:lvl w:ilvl="0" w:tplc="6938119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3E93"/>
    <w:multiLevelType w:val="hybridMultilevel"/>
    <w:tmpl w:val="B7CA51EE"/>
    <w:lvl w:ilvl="0" w:tplc="BA5C14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4079"/>
    <w:multiLevelType w:val="hybridMultilevel"/>
    <w:tmpl w:val="A6AEF7A2"/>
    <w:lvl w:ilvl="0" w:tplc="A6BE770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F2B342B"/>
    <w:multiLevelType w:val="hybridMultilevel"/>
    <w:tmpl w:val="C7768A9C"/>
    <w:lvl w:ilvl="0" w:tplc="0F4AFB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138DF"/>
    <w:multiLevelType w:val="hybridMultilevel"/>
    <w:tmpl w:val="1EB2E47E"/>
    <w:lvl w:ilvl="0" w:tplc="4240E3D0">
      <w:numFmt w:val="bullet"/>
      <w:lvlText w:val="-"/>
      <w:lvlJc w:val="left"/>
      <w:pPr>
        <w:ind w:left="39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378073CF"/>
    <w:multiLevelType w:val="hybridMultilevel"/>
    <w:tmpl w:val="2EB40DFE"/>
    <w:lvl w:ilvl="0" w:tplc="3D7E89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25026"/>
    <w:multiLevelType w:val="hybridMultilevel"/>
    <w:tmpl w:val="1916A80E"/>
    <w:lvl w:ilvl="0" w:tplc="BC8CFEA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D664341"/>
    <w:multiLevelType w:val="hybridMultilevel"/>
    <w:tmpl w:val="1A34A116"/>
    <w:lvl w:ilvl="0" w:tplc="431C13FC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EA91846"/>
    <w:multiLevelType w:val="hybridMultilevel"/>
    <w:tmpl w:val="DFF441B2"/>
    <w:lvl w:ilvl="0" w:tplc="C31EF9C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26B53FB"/>
    <w:multiLevelType w:val="hybridMultilevel"/>
    <w:tmpl w:val="376C9B9E"/>
    <w:lvl w:ilvl="0" w:tplc="88883C0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5406166"/>
    <w:multiLevelType w:val="hybridMultilevel"/>
    <w:tmpl w:val="7C623E98"/>
    <w:lvl w:ilvl="0" w:tplc="5246B4C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110FA"/>
    <w:multiLevelType w:val="hybridMultilevel"/>
    <w:tmpl w:val="D038913C"/>
    <w:lvl w:ilvl="0" w:tplc="9BC2C7F6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95F1030"/>
    <w:multiLevelType w:val="hybridMultilevel"/>
    <w:tmpl w:val="4CF26A60"/>
    <w:lvl w:ilvl="0" w:tplc="00A06C0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A4B6020"/>
    <w:multiLevelType w:val="hybridMultilevel"/>
    <w:tmpl w:val="A8241AA8"/>
    <w:lvl w:ilvl="0" w:tplc="5B44D75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05993"/>
    <w:multiLevelType w:val="hybridMultilevel"/>
    <w:tmpl w:val="C1B02EEA"/>
    <w:lvl w:ilvl="0" w:tplc="028E4D8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508F4B19"/>
    <w:multiLevelType w:val="hybridMultilevel"/>
    <w:tmpl w:val="69962854"/>
    <w:lvl w:ilvl="0" w:tplc="329E39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5984650C"/>
    <w:multiLevelType w:val="hybridMultilevel"/>
    <w:tmpl w:val="4A4CD800"/>
    <w:lvl w:ilvl="0" w:tplc="9A58C1C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75C56"/>
    <w:multiLevelType w:val="hybridMultilevel"/>
    <w:tmpl w:val="79BEE478"/>
    <w:lvl w:ilvl="0" w:tplc="ED289B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E49C7"/>
    <w:multiLevelType w:val="hybridMultilevel"/>
    <w:tmpl w:val="6A9A0CB4"/>
    <w:lvl w:ilvl="0" w:tplc="53C04D2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B41694A"/>
    <w:multiLevelType w:val="hybridMultilevel"/>
    <w:tmpl w:val="2DF8E3AA"/>
    <w:lvl w:ilvl="0" w:tplc="16C4AE4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92CDD"/>
    <w:multiLevelType w:val="hybridMultilevel"/>
    <w:tmpl w:val="40988384"/>
    <w:lvl w:ilvl="0" w:tplc="8C9CD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E353D"/>
    <w:multiLevelType w:val="hybridMultilevel"/>
    <w:tmpl w:val="4A6091B4"/>
    <w:lvl w:ilvl="0" w:tplc="B00EB82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BFE21C3"/>
    <w:multiLevelType w:val="hybridMultilevel"/>
    <w:tmpl w:val="37B22EF6"/>
    <w:lvl w:ilvl="0" w:tplc="1362F0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03AF4"/>
    <w:multiLevelType w:val="hybridMultilevel"/>
    <w:tmpl w:val="75CC9AD2"/>
    <w:lvl w:ilvl="0" w:tplc="C2BE7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5EE0"/>
    <w:multiLevelType w:val="hybridMultilevel"/>
    <w:tmpl w:val="5B240FD2"/>
    <w:lvl w:ilvl="0" w:tplc="79AA1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00F5"/>
    <w:multiLevelType w:val="hybridMultilevel"/>
    <w:tmpl w:val="EF88F51E"/>
    <w:lvl w:ilvl="0" w:tplc="349A47B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4"/>
  </w:num>
  <w:num w:numId="4">
    <w:abstractNumId w:val="6"/>
  </w:num>
  <w:num w:numId="5">
    <w:abstractNumId w:val="18"/>
  </w:num>
  <w:num w:numId="6">
    <w:abstractNumId w:val="34"/>
  </w:num>
  <w:num w:numId="7">
    <w:abstractNumId w:val="16"/>
  </w:num>
  <w:num w:numId="8">
    <w:abstractNumId w:val="27"/>
  </w:num>
  <w:num w:numId="9">
    <w:abstractNumId w:val="7"/>
  </w:num>
  <w:num w:numId="10">
    <w:abstractNumId w:val="15"/>
  </w:num>
  <w:num w:numId="11">
    <w:abstractNumId w:val="0"/>
  </w:num>
  <w:num w:numId="12">
    <w:abstractNumId w:val="17"/>
  </w:num>
  <w:num w:numId="13">
    <w:abstractNumId w:val="28"/>
  </w:num>
  <w:num w:numId="14">
    <w:abstractNumId w:val="33"/>
  </w:num>
  <w:num w:numId="15">
    <w:abstractNumId w:val="29"/>
  </w:num>
  <w:num w:numId="16">
    <w:abstractNumId w:val="12"/>
  </w:num>
  <w:num w:numId="17">
    <w:abstractNumId w:val="9"/>
  </w:num>
  <w:num w:numId="18">
    <w:abstractNumId w:val="32"/>
  </w:num>
  <w:num w:numId="19">
    <w:abstractNumId w:val="31"/>
  </w:num>
  <w:num w:numId="20">
    <w:abstractNumId w:val="13"/>
  </w:num>
  <w:num w:numId="21">
    <w:abstractNumId w:val="35"/>
  </w:num>
  <w:num w:numId="22">
    <w:abstractNumId w:val="21"/>
  </w:num>
  <w:num w:numId="23">
    <w:abstractNumId w:val="1"/>
  </w:num>
  <w:num w:numId="24">
    <w:abstractNumId w:val="14"/>
  </w:num>
  <w:num w:numId="25">
    <w:abstractNumId w:val="5"/>
  </w:num>
  <w:num w:numId="26">
    <w:abstractNumId w:val="8"/>
  </w:num>
  <w:num w:numId="27">
    <w:abstractNumId w:val="10"/>
  </w:num>
  <w:num w:numId="28">
    <w:abstractNumId w:val="11"/>
  </w:num>
  <w:num w:numId="29">
    <w:abstractNumId w:val="24"/>
  </w:num>
  <w:num w:numId="30">
    <w:abstractNumId w:val="25"/>
  </w:num>
  <w:num w:numId="31">
    <w:abstractNumId w:val="2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"/>
  </w:num>
  <w:num w:numId="35">
    <w:abstractNumId w:val="26"/>
  </w:num>
  <w:num w:numId="3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7F8"/>
    <w:rsid w:val="0001044A"/>
    <w:rsid w:val="000108A5"/>
    <w:rsid w:val="00010E89"/>
    <w:rsid w:val="000110CA"/>
    <w:rsid w:val="00014D98"/>
    <w:rsid w:val="00015018"/>
    <w:rsid w:val="0002029E"/>
    <w:rsid w:val="000230AE"/>
    <w:rsid w:val="000244B9"/>
    <w:rsid w:val="00024AD4"/>
    <w:rsid w:val="00025D50"/>
    <w:rsid w:val="00035F16"/>
    <w:rsid w:val="00042A5D"/>
    <w:rsid w:val="000461CC"/>
    <w:rsid w:val="00046528"/>
    <w:rsid w:val="0004793D"/>
    <w:rsid w:val="00052356"/>
    <w:rsid w:val="00052D34"/>
    <w:rsid w:val="00055CA4"/>
    <w:rsid w:val="000562CC"/>
    <w:rsid w:val="00060D15"/>
    <w:rsid w:val="00063019"/>
    <w:rsid w:val="00065DC0"/>
    <w:rsid w:val="000670B8"/>
    <w:rsid w:val="00071821"/>
    <w:rsid w:val="000758E4"/>
    <w:rsid w:val="000826E8"/>
    <w:rsid w:val="00084830"/>
    <w:rsid w:val="00084E10"/>
    <w:rsid w:val="00090245"/>
    <w:rsid w:val="00091276"/>
    <w:rsid w:val="000919DD"/>
    <w:rsid w:val="000958CD"/>
    <w:rsid w:val="000A2DA9"/>
    <w:rsid w:val="000A6321"/>
    <w:rsid w:val="000A73B4"/>
    <w:rsid w:val="000B1F77"/>
    <w:rsid w:val="000B4945"/>
    <w:rsid w:val="000B4B7C"/>
    <w:rsid w:val="000C3EDF"/>
    <w:rsid w:val="000C45DD"/>
    <w:rsid w:val="000C573B"/>
    <w:rsid w:val="000C702E"/>
    <w:rsid w:val="000C7B8C"/>
    <w:rsid w:val="000D0F0F"/>
    <w:rsid w:val="000D2B87"/>
    <w:rsid w:val="000E00D0"/>
    <w:rsid w:val="000E45AC"/>
    <w:rsid w:val="000E52AE"/>
    <w:rsid w:val="000E6682"/>
    <w:rsid w:val="000E6B08"/>
    <w:rsid w:val="000F2637"/>
    <w:rsid w:val="000F3CAE"/>
    <w:rsid w:val="000F5206"/>
    <w:rsid w:val="000F5406"/>
    <w:rsid w:val="000F5DBD"/>
    <w:rsid w:val="000F6104"/>
    <w:rsid w:val="000F71BB"/>
    <w:rsid w:val="00103BED"/>
    <w:rsid w:val="00110C03"/>
    <w:rsid w:val="00110D14"/>
    <w:rsid w:val="001111BE"/>
    <w:rsid w:val="0011170C"/>
    <w:rsid w:val="00113520"/>
    <w:rsid w:val="00117765"/>
    <w:rsid w:val="00117790"/>
    <w:rsid w:val="00121C22"/>
    <w:rsid w:val="00122685"/>
    <w:rsid w:val="00122768"/>
    <w:rsid w:val="00126DFD"/>
    <w:rsid w:val="0012718D"/>
    <w:rsid w:val="00132829"/>
    <w:rsid w:val="00137316"/>
    <w:rsid w:val="00140A2F"/>
    <w:rsid w:val="0014555E"/>
    <w:rsid w:val="00145634"/>
    <w:rsid w:val="00147EA2"/>
    <w:rsid w:val="0015311F"/>
    <w:rsid w:val="00153761"/>
    <w:rsid w:val="00155C3B"/>
    <w:rsid w:val="00156173"/>
    <w:rsid w:val="00156729"/>
    <w:rsid w:val="001573CC"/>
    <w:rsid w:val="001576F4"/>
    <w:rsid w:val="001613E3"/>
    <w:rsid w:val="001624C0"/>
    <w:rsid w:val="00166A3B"/>
    <w:rsid w:val="001672D0"/>
    <w:rsid w:val="00175E00"/>
    <w:rsid w:val="0017678E"/>
    <w:rsid w:val="00186027"/>
    <w:rsid w:val="00192F2A"/>
    <w:rsid w:val="001941A6"/>
    <w:rsid w:val="00197905"/>
    <w:rsid w:val="001A070A"/>
    <w:rsid w:val="001A192A"/>
    <w:rsid w:val="001B08D5"/>
    <w:rsid w:val="001B3495"/>
    <w:rsid w:val="001B3EAB"/>
    <w:rsid w:val="001C1267"/>
    <w:rsid w:val="001C1906"/>
    <w:rsid w:val="001C54C3"/>
    <w:rsid w:val="001D3FAC"/>
    <w:rsid w:val="001D46E9"/>
    <w:rsid w:val="001D4837"/>
    <w:rsid w:val="001D67AD"/>
    <w:rsid w:val="001E27D5"/>
    <w:rsid w:val="001E325D"/>
    <w:rsid w:val="001E3E40"/>
    <w:rsid w:val="001E6AC3"/>
    <w:rsid w:val="001F53EB"/>
    <w:rsid w:val="00201196"/>
    <w:rsid w:val="00201A0F"/>
    <w:rsid w:val="002068BC"/>
    <w:rsid w:val="00221C59"/>
    <w:rsid w:val="00227050"/>
    <w:rsid w:val="00227633"/>
    <w:rsid w:val="00230765"/>
    <w:rsid w:val="00235FD1"/>
    <w:rsid w:val="0024563F"/>
    <w:rsid w:val="00255B56"/>
    <w:rsid w:val="0025635A"/>
    <w:rsid w:val="00256EE5"/>
    <w:rsid w:val="00257396"/>
    <w:rsid w:val="00261031"/>
    <w:rsid w:val="002654A1"/>
    <w:rsid w:val="00267BAC"/>
    <w:rsid w:val="002747DE"/>
    <w:rsid w:val="002773C4"/>
    <w:rsid w:val="00285E27"/>
    <w:rsid w:val="0028621D"/>
    <w:rsid w:val="00290D94"/>
    <w:rsid w:val="00291424"/>
    <w:rsid w:val="002914FE"/>
    <w:rsid w:val="0029640F"/>
    <w:rsid w:val="00297458"/>
    <w:rsid w:val="0029750F"/>
    <w:rsid w:val="002A495D"/>
    <w:rsid w:val="002B3A68"/>
    <w:rsid w:val="002B7BCD"/>
    <w:rsid w:val="002C06B6"/>
    <w:rsid w:val="002C298A"/>
    <w:rsid w:val="002C3775"/>
    <w:rsid w:val="002C3E2E"/>
    <w:rsid w:val="002C59B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4299"/>
    <w:rsid w:val="002F4334"/>
    <w:rsid w:val="00300081"/>
    <w:rsid w:val="00300F19"/>
    <w:rsid w:val="00301C72"/>
    <w:rsid w:val="00305629"/>
    <w:rsid w:val="003107C4"/>
    <w:rsid w:val="00314203"/>
    <w:rsid w:val="00315482"/>
    <w:rsid w:val="0031593F"/>
    <w:rsid w:val="00315968"/>
    <w:rsid w:val="00315A75"/>
    <w:rsid w:val="00321E2D"/>
    <w:rsid w:val="003261D9"/>
    <w:rsid w:val="00331D3F"/>
    <w:rsid w:val="00332277"/>
    <w:rsid w:val="00335B94"/>
    <w:rsid w:val="00336FE9"/>
    <w:rsid w:val="0034575C"/>
    <w:rsid w:val="00345C84"/>
    <w:rsid w:val="00345DCB"/>
    <w:rsid w:val="00351168"/>
    <w:rsid w:val="00354B3D"/>
    <w:rsid w:val="00354F6C"/>
    <w:rsid w:val="00355808"/>
    <w:rsid w:val="003564F9"/>
    <w:rsid w:val="00366BF7"/>
    <w:rsid w:val="003716C3"/>
    <w:rsid w:val="00372FD0"/>
    <w:rsid w:val="00373A4A"/>
    <w:rsid w:val="00375660"/>
    <w:rsid w:val="0038021D"/>
    <w:rsid w:val="00381571"/>
    <w:rsid w:val="00383A32"/>
    <w:rsid w:val="003847C9"/>
    <w:rsid w:val="003847FD"/>
    <w:rsid w:val="00395FDF"/>
    <w:rsid w:val="0039736C"/>
    <w:rsid w:val="003A1FF4"/>
    <w:rsid w:val="003A2811"/>
    <w:rsid w:val="003A465D"/>
    <w:rsid w:val="003B074E"/>
    <w:rsid w:val="003B187E"/>
    <w:rsid w:val="003B435B"/>
    <w:rsid w:val="003B4B43"/>
    <w:rsid w:val="003C21E6"/>
    <w:rsid w:val="003C3ECF"/>
    <w:rsid w:val="003C496F"/>
    <w:rsid w:val="003D0250"/>
    <w:rsid w:val="003D1964"/>
    <w:rsid w:val="003D291C"/>
    <w:rsid w:val="003D3FFC"/>
    <w:rsid w:val="003D4270"/>
    <w:rsid w:val="003D4EF7"/>
    <w:rsid w:val="003D6988"/>
    <w:rsid w:val="003E0E75"/>
    <w:rsid w:val="003E1D15"/>
    <w:rsid w:val="003E48EA"/>
    <w:rsid w:val="003E490F"/>
    <w:rsid w:val="003E6ED1"/>
    <w:rsid w:val="003F5B6E"/>
    <w:rsid w:val="003F6219"/>
    <w:rsid w:val="00402848"/>
    <w:rsid w:val="004063EA"/>
    <w:rsid w:val="00407FCA"/>
    <w:rsid w:val="00410C5A"/>
    <w:rsid w:val="00412B4C"/>
    <w:rsid w:val="00414C62"/>
    <w:rsid w:val="00430C06"/>
    <w:rsid w:val="00430C95"/>
    <w:rsid w:val="004338AF"/>
    <w:rsid w:val="004434F9"/>
    <w:rsid w:val="00443576"/>
    <w:rsid w:val="0044621F"/>
    <w:rsid w:val="00446519"/>
    <w:rsid w:val="00453092"/>
    <w:rsid w:val="004553E6"/>
    <w:rsid w:val="004556A2"/>
    <w:rsid w:val="00456603"/>
    <w:rsid w:val="00457624"/>
    <w:rsid w:val="00473042"/>
    <w:rsid w:val="00474726"/>
    <w:rsid w:val="00474F7B"/>
    <w:rsid w:val="00475A28"/>
    <w:rsid w:val="00477995"/>
    <w:rsid w:val="0048203C"/>
    <w:rsid w:val="004821D2"/>
    <w:rsid w:val="00493252"/>
    <w:rsid w:val="0049349B"/>
    <w:rsid w:val="004A0B51"/>
    <w:rsid w:val="004A15E0"/>
    <w:rsid w:val="004A3823"/>
    <w:rsid w:val="004A585E"/>
    <w:rsid w:val="004C09BE"/>
    <w:rsid w:val="004C1778"/>
    <w:rsid w:val="004C21DD"/>
    <w:rsid w:val="004C31B3"/>
    <w:rsid w:val="004C3F74"/>
    <w:rsid w:val="004C4F67"/>
    <w:rsid w:val="004C7643"/>
    <w:rsid w:val="004D3A3E"/>
    <w:rsid w:val="004D5DD0"/>
    <w:rsid w:val="004D610E"/>
    <w:rsid w:val="004E1AB3"/>
    <w:rsid w:val="004E628E"/>
    <w:rsid w:val="004E6D91"/>
    <w:rsid w:val="004F7769"/>
    <w:rsid w:val="005070C3"/>
    <w:rsid w:val="00514575"/>
    <w:rsid w:val="005175F1"/>
    <w:rsid w:val="00520C06"/>
    <w:rsid w:val="0052508B"/>
    <w:rsid w:val="005302C5"/>
    <w:rsid w:val="00531157"/>
    <w:rsid w:val="00532E28"/>
    <w:rsid w:val="00537829"/>
    <w:rsid w:val="005459C2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66195"/>
    <w:rsid w:val="0057249E"/>
    <w:rsid w:val="00573B9D"/>
    <w:rsid w:val="00575F65"/>
    <w:rsid w:val="00583539"/>
    <w:rsid w:val="00583A26"/>
    <w:rsid w:val="00583AF3"/>
    <w:rsid w:val="00591701"/>
    <w:rsid w:val="00593049"/>
    <w:rsid w:val="00595F4A"/>
    <w:rsid w:val="005A0352"/>
    <w:rsid w:val="005A4509"/>
    <w:rsid w:val="005A6CF2"/>
    <w:rsid w:val="005B205C"/>
    <w:rsid w:val="005B4671"/>
    <w:rsid w:val="005C5550"/>
    <w:rsid w:val="005C5A4D"/>
    <w:rsid w:val="005C6C02"/>
    <w:rsid w:val="005C794B"/>
    <w:rsid w:val="005D035E"/>
    <w:rsid w:val="005D3723"/>
    <w:rsid w:val="005D3BB7"/>
    <w:rsid w:val="005D6684"/>
    <w:rsid w:val="005D6D4E"/>
    <w:rsid w:val="005E0FA6"/>
    <w:rsid w:val="005E42EE"/>
    <w:rsid w:val="005E479D"/>
    <w:rsid w:val="005E687A"/>
    <w:rsid w:val="005E72CD"/>
    <w:rsid w:val="005F0BC4"/>
    <w:rsid w:val="005F58CD"/>
    <w:rsid w:val="005F7358"/>
    <w:rsid w:val="00600052"/>
    <w:rsid w:val="00601858"/>
    <w:rsid w:val="00601BCD"/>
    <w:rsid w:val="00603A39"/>
    <w:rsid w:val="00606487"/>
    <w:rsid w:val="00607F70"/>
    <w:rsid w:val="00612885"/>
    <w:rsid w:val="00616671"/>
    <w:rsid w:val="00621725"/>
    <w:rsid w:val="00621B0D"/>
    <w:rsid w:val="0063528C"/>
    <w:rsid w:val="0064033E"/>
    <w:rsid w:val="00643EDC"/>
    <w:rsid w:val="00644C6F"/>
    <w:rsid w:val="00652D40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42A4"/>
    <w:rsid w:val="0069632D"/>
    <w:rsid w:val="006A13E9"/>
    <w:rsid w:val="006A2BE5"/>
    <w:rsid w:val="006B0067"/>
    <w:rsid w:val="006B14C0"/>
    <w:rsid w:val="006B2E7E"/>
    <w:rsid w:val="006B3313"/>
    <w:rsid w:val="006B43A4"/>
    <w:rsid w:val="006B4E5D"/>
    <w:rsid w:val="006B5F70"/>
    <w:rsid w:val="006C4759"/>
    <w:rsid w:val="006D4559"/>
    <w:rsid w:val="006D46A0"/>
    <w:rsid w:val="006D5BD6"/>
    <w:rsid w:val="006E09C4"/>
    <w:rsid w:val="006E1AF2"/>
    <w:rsid w:val="006E7B26"/>
    <w:rsid w:val="006F06EB"/>
    <w:rsid w:val="006F2241"/>
    <w:rsid w:val="006F3E44"/>
    <w:rsid w:val="006F6175"/>
    <w:rsid w:val="00705CAC"/>
    <w:rsid w:val="00710E40"/>
    <w:rsid w:val="00711FA3"/>
    <w:rsid w:val="00716D53"/>
    <w:rsid w:val="00716D7E"/>
    <w:rsid w:val="00720D33"/>
    <w:rsid w:val="00724E34"/>
    <w:rsid w:val="007265BE"/>
    <w:rsid w:val="00726D24"/>
    <w:rsid w:val="0073296A"/>
    <w:rsid w:val="00735F35"/>
    <w:rsid w:val="00742018"/>
    <w:rsid w:val="00742ED4"/>
    <w:rsid w:val="00747FFB"/>
    <w:rsid w:val="00750146"/>
    <w:rsid w:val="00751803"/>
    <w:rsid w:val="00751949"/>
    <w:rsid w:val="00751D43"/>
    <w:rsid w:val="00754FAF"/>
    <w:rsid w:val="007619DE"/>
    <w:rsid w:val="007638F8"/>
    <w:rsid w:val="007640AF"/>
    <w:rsid w:val="00765B7B"/>
    <w:rsid w:val="00766BC9"/>
    <w:rsid w:val="00775194"/>
    <w:rsid w:val="00780682"/>
    <w:rsid w:val="00785085"/>
    <w:rsid w:val="00786CBA"/>
    <w:rsid w:val="00786FB9"/>
    <w:rsid w:val="00794F29"/>
    <w:rsid w:val="00797B90"/>
    <w:rsid w:val="007A5D7C"/>
    <w:rsid w:val="007B0379"/>
    <w:rsid w:val="007B2BCB"/>
    <w:rsid w:val="007B311A"/>
    <w:rsid w:val="007C48CF"/>
    <w:rsid w:val="007D139A"/>
    <w:rsid w:val="007D459E"/>
    <w:rsid w:val="007D4EF5"/>
    <w:rsid w:val="007D53EF"/>
    <w:rsid w:val="007D7294"/>
    <w:rsid w:val="007D7905"/>
    <w:rsid w:val="007D7F93"/>
    <w:rsid w:val="007E06E7"/>
    <w:rsid w:val="007E2B49"/>
    <w:rsid w:val="007E37FF"/>
    <w:rsid w:val="007E4C85"/>
    <w:rsid w:val="007F3E90"/>
    <w:rsid w:val="007F5CBB"/>
    <w:rsid w:val="007F6018"/>
    <w:rsid w:val="00804A21"/>
    <w:rsid w:val="00807402"/>
    <w:rsid w:val="00810DDD"/>
    <w:rsid w:val="00811F15"/>
    <w:rsid w:val="00812107"/>
    <w:rsid w:val="008122F2"/>
    <w:rsid w:val="00813597"/>
    <w:rsid w:val="00814DBA"/>
    <w:rsid w:val="00814F6B"/>
    <w:rsid w:val="008206C9"/>
    <w:rsid w:val="00821F19"/>
    <w:rsid w:val="008327D0"/>
    <w:rsid w:val="00834ED0"/>
    <w:rsid w:val="00837A8B"/>
    <w:rsid w:val="0084298C"/>
    <w:rsid w:val="00844DD8"/>
    <w:rsid w:val="00845280"/>
    <w:rsid w:val="00853C4D"/>
    <w:rsid w:val="00857016"/>
    <w:rsid w:val="00860D41"/>
    <w:rsid w:val="0086361F"/>
    <w:rsid w:val="00863C0E"/>
    <w:rsid w:val="00863F55"/>
    <w:rsid w:val="00867FD3"/>
    <w:rsid w:val="0087012A"/>
    <w:rsid w:val="00872FBC"/>
    <w:rsid w:val="00876ADB"/>
    <w:rsid w:val="00884C80"/>
    <w:rsid w:val="0088512F"/>
    <w:rsid w:val="00886043"/>
    <w:rsid w:val="00886589"/>
    <w:rsid w:val="00890287"/>
    <w:rsid w:val="008904BA"/>
    <w:rsid w:val="00892103"/>
    <w:rsid w:val="008928F9"/>
    <w:rsid w:val="008A0280"/>
    <w:rsid w:val="008A09B0"/>
    <w:rsid w:val="008A313C"/>
    <w:rsid w:val="008A48B5"/>
    <w:rsid w:val="008B1192"/>
    <w:rsid w:val="008B522A"/>
    <w:rsid w:val="008B77EB"/>
    <w:rsid w:val="008C3FCA"/>
    <w:rsid w:val="008C7800"/>
    <w:rsid w:val="008D77F8"/>
    <w:rsid w:val="008E518C"/>
    <w:rsid w:val="008E593B"/>
    <w:rsid w:val="008E60ED"/>
    <w:rsid w:val="008E6CE6"/>
    <w:rsid w:val="008E7806"/>
    <w:rsid w:val="008F5469"/>
    <w:rsid w:val="008F64E8"/>
    <w:rsid w:val="00905E09"/>
    <w:rsid w:val="00905FB1"/>
    <w:rsid w:val="00910CA6"/>
    <w:rsid w:val="00916F3E"/>
    <w:rsid w:val="00922271"/>
    <w:rsid w:val="00924263"/>
    <w:rsid w:val="00925DE5"/>
    <w:rsid w:val="00927643"/>
    <w:rsid w:val="009311B8"/>
    <w:rsid w:val="00936B4E"/>
    <w:rsid w:val="0094216F"/>
    <w:rsid w:val="00942289"/>
    <w:rsid w:val="00942CA2"/>
    <w:rsid w:val="009447E2"/>
    <w:rsid w:val="0094628E"/>
    <w:rsid w:val="009624E5"/>
    <w:rsid w:val="00964B6A"/>
    <w:rsid w:val="00970957"/>
    <w:rsid w:val="009713E1"/>
    <w:rsid w:val="00971BCC"/>
    <w:rsid w:val="00987A9F"/>
    <w:rsid w:val="0099286F"/>
    <w:rsid w:val="009A2DA3"/>
    <w:rsid w:val="009A3F14"/>
    <w:rsid w:val="009A3F83"/>
    <w:rsid w:val="009A5AA2"/>
    <w:rsid w:val="009A62D5"/>
    <w:rsid w:val="009A7F2A"/>
    <w:rsid w:val="009C6EB7"/>
    <w:rsid w:val="009C6F38"/>
    <w:rsid w:val="009C7607"/>
    <w:rsid w:val="009D0221"/>
    <w:rsid w:val="009D4200"/>
    <w:rsid w:val="009E2DFE"/>
    <w:rsid w:val="009E2E56"/>
    <w:rsid w:val="009E4DD1"/>
    <w:rsid w:val="009F2239"/>
    <w:rsid w:val="009F7C84"/>
    <w:rsid w:val="00A038C9"/>
    <w:rsid w:val="00A16FEB"/>
    <w:rsid w:val="00A20933"/>
    <w:rsid w:val="00A2605A"/>
    <w:rsid w:val="00A26789"/>
    <w:rsid w:val="00A37632"/>
    <w:rsid w:val="00A407AF"/>
    <w:rsid w:val="00A42D52"/>
    <w:rsid w:val="00A46F6B"/>
    <w:rsid w:val="00A5238A"/>
    <w:rsid w:val="00A544C9"/>
    <w:rsid w:val="00A601C1"/>
    <w:rsid w:val="00A6109D"/>
    <w:rsid w:val="00A61B19"/>
    <w:rsid w:val="00A65897"/>
    <w:rsid w:val="00A718D8"/>
    <w:rsid w:val="00A72DC8"/>
    <w:rsid w:val="00A83AA1"/>
    <w:rsid w:val="00A83DAA"/>
    <w:rsid w:val="00A84690"/>
    <w:rsid w:val="00A85E84"/>
    <w:rsid w:val="00A86B6A"/>
    <w:rsid w:val="00A946D4"/>
    <w:rsid w:val="00A960C9"/>
    <w:rsid w:val="00A979E8"/>
    <w:rsid w:val="00AA1A91"/>
    <w:rsid w:val="00AA4C9F"/>
    <w:rsid w:val="00AB294C"/>
    <w:rsid w:val="00AB30C2"/>
    <w:rsid w:val="00AB4067"/>
    <w:rsid w:val="00AB48EA"/>
    <w:rsid w:val="00AC19B7"/>
    <w:rsid w:val="00AC1D6A"/>
    <w:rsid w:val="00AC317F"/>
    <w:rsid w:val="00AC523C"/>
    <w:rsid w:val="00AC5767"/>
    <w:rsid w:val="00AC6356"/>
    <w:rsid w:val="00AC6E04"/>
    <w:rsid w:val="00AD1BB6"/>
    <w:rsid w:val="00AD6461"/>
    <w:rsid w:val="00AD655F"/>
    <w:rsid w:val="00AE0DA5"/>
    <w:rsid w:val="00AE26E9"/>
    <w:rsid w:val="00AE3875"/>
    <w:rsid w:val="00AE6BC9"/>
    <w:rsid w:val="00AF1BA5"/>
    <w:rsid w:val="00AF3A0C"/>
    <w:rsid w:val="00AF5AC3"/>
    <w:rsid w:val="00AF7786"/>
    <w:rsid w:val="00AF7C68"/>
    <w:rsid w:val="00AF7CDE"/>
    <w:rsid w:val="00B03C57"/>
    <w:rsid w:val="00B113AB"/>
    <w:rsid w:val="00B122BB"/>
    <w:rsid w:val="00B13B42"/>
    <w:rsid w:val="00B22BB6"/>
    <w:rsid w:val="00B247C6"/>
    <w:rsid w:val="00B2500C"/>
    <w:rsid w:val="00B25264"/>
    <w:rsid w:val="00B3097F"/>
    <w:rsid w:val="00B31564"/>
    <w:rsid w:val="00B34395"/>
    <w:rsid w:val="00B352B5"/>
    <w:rsid w:val="00B353A8"/>
    <w:rsid w:val="00B36E66"/>
    <w:rsid w:val="00B47F26"/>
    <w:rsid w:val="00B50DAB"/>
    <w:rsid w:val="00B61EDD"/>
    <w:rsid w:val="00B71D91"/>
    <w:rsid w:val="00B72141"/>
    <w:rsid w:val="00B73428"/>
    <w:rsid w:val="00B95FBA"/>
    <w:rsid w:val="00BA0472"/>
    <w:rsid w:val="00BA0969"/>
    <w:rsid w:val="00BA29C7"/>
    <w:rsid w:val="00BA7B12"/>
    <w:rsid w:val="00BB0F84"/>
    <w:rsid w:val="00BB1EDD"/>
    <w:rsid w:val="00BB2D60"/>
    <w:rsid w:val="00BB55D0"/>
    <w:rsid w:val="00BC3321"/>
    <w:rsid w:val="00BC6A8A"/>
    <w:rsid w:val="00BD5D08"/>
    <w:rsid w:val="00BE01FD"/>
    <w:rsid w:val="00BE0A73"/>
    <w:rsid w:val="00BE6543"/>
    <w:rsid w:val="00BF0F83"/>
    <w:rsid w:val="00BF46DA"/>
    <w:rsid w:val="00BF6C76"/>
    <w:rsid w:val="00BF7A24"/>
    <w:rsid w:val="00C031BE"/>
    <w:rsid w:val="00C05D11"/>
    <w:rsid w:val="00C06F94"/>
    <w:rsid w:val="00C12E62"/>
    <w:rsid w:val="00C14741"/>
    <w:rsid w:val="00C219AC"/>
    <w:rsid w:val="00C23B42"/>
    <w:rsid w:val="00C23EB0"/>
    <w:rsid w:val="00C25329"/>
    <w:rsid w:val="00C320C5"/>
    <w:rsid w:val="00C33A50"/>
    <w:rsid w:val="00C42D88"/>
    <w:rsid w:val="00C50719"/>
    <w:rsid w:val="00C51100"/>
    <w:rsid w:val="00C54D2E"/>
    <w:rsid w:val="00C56682"/>
    <w:rsid w:val="00C5771A"/>
    <w:rsid w:val="00C60958"/>
    <w:rsid w:val="00C62134"/>
    <w:rsid w:val="00C65286"/>
    <w:rsid w:val="00C7065F"/>
    <w:rsid w:val="00C70C7F"/>
    <w:rsid w:val="00C74A83"/>
    <w:rsid w:val="00C7599B"/>
    <w:rsid w:val="00C866C5"/>
    <w:rsid w:val="00C87CE9"/>
    <w:rsid w:val="00C93057"/>
    <w:rsid w:val="00C9469D"/>
    <w:rsid w:val="00C95FFC"/>
    <w:rsid w:val="00CA5487"/>
    <w:rsid w:val="00CA5F15"/>
    <w:rsid w:val="00CD1C3F"/>
    <w:rsid w:val="00CD45D3"/>
    <w:rsid w:val="00CE0111"/>
    <w:rsid w:val="00CE0E06"/>
    <w:rsid w:val="00CE39A6"/>
    <w:rsid w:val="00CE5CBB"/>
    <w:rsid w:val="00CE6C37"/>
    <w:rsid w:val="00CF57BB"/>
    <w:rsid w:val="00D01A91"/>
    <w:rsid w:val="00D07CF1"/>
    <w:rsid w:val="00D10C0D"/>
    <w:rsid w:val="00D27CB2"/>
    <w:rsid w:val="00D30BEC"/>
    <w:rsid w:val="00D30D91"/>
    <w:rsid w:val="00D329AD"/>
    <w:rsid w:val="00D32F77"/>
    <w:rsid w:val="00D33CF2"/>
    <w:rsid w:val="00D37CB4"/>
    <w:rsid w:val="00D41A08"/>
    <w:rsid w:val="00D51D61"/>
    <w:rsid w:val="00D52BC4"/>
    <w:rsid w:val="00D56724"/>
    <w:rsid w:val="00D62A84"/>
    <w:rsid w:val="00D64F7B"/>
    <w:rsid w:val="00D6660D"/>
    <w:rsid w:val="00D677D9"/>
    <w:rsid w:val="00D7060B"/>
    <w:rsid w:val="00D7265C"/>
    <w:rsid w:val="00D72FAD"/>
    <w:rsid w:val="00D768EF"/>
    <w:rsid w:val="00D77506"/>
    <w:rsid w:val="00D81C10"/>
    <w:rsid w:val="00D81E8A"/>
    <w:rsid w:val="00D81F2A"/>
    <w:rsid w:val="00D8767A"/>
    <w:rsid w:val="00DA359B"/>
    <w:rsid w:val="00DA4A7F"/>
    <w:rsid w:val="00DA6304"/>
    <w:rsid w:val="00DA6C86"/>
    <w:rsid w:val="00DB2FFD"/>
    <w:rsid w:val="00DB5FC1"/>
    <w:rsid w:val="00DC42FC"/>
    <w:rsid w:val="00DC48FF"/>
    <w:rsid w:val="00DD6F66"/>
    <w:rsid w:val="00DE0357"/>
    <w:rsid w:val="00DE2A19"/>
    <w:rsid w:val="00DE3EB7"/>
    <w:rsid w:val="00DF0E02"/>
    <w:rsid w:val="00DF1A9D"/>
    <w:rsid w:val="00DF2422"/>
    <w:rsid w:val="00DF740C"/>
    <w:rsid w:val="00E0058A"/>
    <w:rsid w:val="00E00B3D"/>
    <w:rsid w:val="00E0455D"/>
    <w:rsid w:val="00E12F3F"/>
    <w:rsid w:val="00E130C0"/>
    <w:rsid w:val="00E13C09"/>
    <w:rsid w:val="00E154C9"/>
    <w:rsid w:val="00E16CE8"/>
    <w:rsid w:val="00E21C10"/>
    <w:rsid w:val="00E22F4D"/>
    <w:rsid w:val="00E27082"/>
    <w:rsid w:val="00E27AE3"/>
    <w:rsid w:val="00E31AD4"/>
    <w:rsid w:val="00E365EF"/>
    <w:rsid w:val="00E37F90"/>
    <w:rsid w:val="00E425AF"/>
    <w:rsid w:val="00E42ED8"/>
    <w:rsid w:val="00E430D9"/>
    <w:rsid w:val="00E4711F"/>
    <w:rsid w:val="00E501C3"/>
    <w:rsid w:val="00E50389"/>
    <w:rsid w:val="00E52181"/>
    <w:rsid w:val="00E53B10"/>
    <w:rsid w:val="00E5442C"/>
    <w:rsid w:val="00E5588B"/>
    <w:rsid w:val="00E57979"/>
    <w:rsid w:val="00E66657"/>
    <w:rsid w:val="00E67528"/>
    <w:rsid w:val="00E704F6"/>
    <w:rsid w:val="00E75548"/>
    <w:rsid w:val="00E772E6"/>
    <w:rsid w:val="00E832A1"/>
    <w:rsid w:val="00E86A0C"/>
    <w:rsid w:val="00E902AC"/>
    <w:rsid w:val="00E919CF"/>
    <w:rsid w:val="00E92421"/>
    <w:rsid w:val="00E95507"/>
    <w:rsid w:val="00E96224"/>
    <w:rsid w:val="00E97244"/>
    <w:rsid w:val="00EA21B1"/>
    <w:rsid w:val="00EA2626"/>
    <w:rsid w:val="00EA5E08"/>
    <w:rsid w:val="00EA7BB2"/>
    <w:rsid w:val="00EB2049"/>
    <w:rsid w:val="00EB315E"/>
    <w:rsid w:val="00EB393F"/>
    <w:rsid w:val="00EB4C16"/>
    <w:rsid w:val="00EB51A9"/>
    <w:rsid w:val="00EB6186"/>
    <w:rsid w:val="00EC031B"/>
    <w:rsid w:val="00EC415D"/>
    <w:rsid w:val="00EC5C9F"/>
    <w:rsid w:val="00EC6B8F"/>
    <w:rsid w:val="00ED005F"/>
    <w:rsid w:val="00ED2A96"/>
    <w:rsid w:val="00ED2CE5"/>
    <w:rsid w:val="00ED4611"/>
    <w:rsid w:val="00ED4C47"/>
    <w:rsid w:val="00ED5C7B"/>
    <w:rsid w:val="00EE1662"/>
    <w:rsid w:val="00EE60F9"/>
    <w:rsid w:val="00EF1568"/>
    <w:rsid w:val="00EF401A"/>
    <w:rsid w:val="00EF5CB7"/>
    <w:rsid w:val="00F01347"/>
    <w:rsid w:val="00F01575"/>
    <w:rsid w:val="00F01C89"/>
    <w:rsid w:val="00F11E79"/>
    <w:rsid w:val="00F12FAF"/>
    <w:rsid w:val="00F1656E"/>
    <w:rsid w:val="00F25D22"/>
    <w:rsid w:val="00F31269"/>
    <w:rsid w:val="00F34B75"/>
    <w:rsid w:val="00F42520"/>
    <w:rsid w:val="00F42CFC"/>
    <w:rsid w:val="00F44294"/>
    <w:rsid w:val="00F45DE0"/>
    <w:rsid w:val="00F46977"/>
    <w:rsid w:val="00F470EF"/>
    <w:rsid w:val="00F502DB"/>
    <w:rsid w:val="00F56DA3"/>
    <w:rsid w:val="00F60683"/>
    <w:rsid w:val="00F649AA"/>
    <w:rsid w:val="00F64D22"/>
    <w:rsid w:val="00F65AD5"/>
    <w:rsid w:val="00F70835"/>
    <w:rsid w:val="00F70EB9"/>
    <w:rsid w:val="00F72C50"/>
    <w:rsid w:val="00F74E9C"/>
    <w:rsid w:val="00F76454"/>
    <w:rsid w:val="00F81690"/>
    <w:rsid w:val="00F816B5"/>
    <w:rsid w:val="00F8494D"/>
    <w:rsid w:val="00F85435"/>
    <w:rsid w:val="00F91766"/>
    <w:rsid w:val="00F927DD"/>
    <w:rsid w:val="00F9424D"/>
    <w:rsid w:val="00F9565B"/>
    <w:rsid w:val="00F975C2"/>
    <w:rsid w:val="00FA1545"/>
    <w:rsid w:val="00FA2B90"/>
    <w:rsid w:val="00FA7DD7"/>
    <w:rsid w:val="00FB0F91"/>
    <w:rsid w:val="00FC0C03"/>
    <w:rsid w:val="00FC0C8A"/>
    <w:rsid w:val="00FC5CE7"/>
    <w:rsid w:val="00FC7465"/>
    <w:rsid w:val="00FC77AD"/>
    <w:rsid w:val="00FD05CE"/>
    <w:rsid w:val="00FD14D6"/>
    <w:rsid w:val="00FD332F"/>
    <w:rsid w:val="00FD5AFE"/>
    <w:rsid w:val="00FD7499"/>
    <w:rsid w:val="00FE01C8"/>
    <w:rsid w:val="00FE1FFD"/>
    <w:rsid w:val="00FE402D"/>
    <w:rsid w:val="00FF14E3"/>
    <w:rsid w:val="00FF6A91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AECE77"/>
  <w15:docId w15:val="{FA973CA9-3DE6-4963-BFC9-A823FE42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E704F6"/>
    <w:pPr>
      <w:numPr>
        <w:numId w:val="33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751803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751803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04F6"/>
    <w:rPr>
      <w:rFonts w:ascii="Arial Black" w:hAnsi="Arial Black" w:cs="Arial"/>
      <w:sz w:val="26"/>
      <w:szCs w:val="26"/>
    </w:rPr>
  </w:style>
  <w:style w:type="character" w:styleId="Siln">
    <w:name w:val="Strong"/>
    <w:basedOn w:val="Standardnpsmoodstavce"/>
    <w:uiPriority w:val="22"/>
    <w:qFormat/>
    <w:rsid w:val="00F46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ED024-919E-4401-BBDE-0E0F4231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1619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5</cp:revision>
  <cp:lastPrinted>2017-11-13T13:47:00Z</cp:lastPrinted>
  <dcterms:created xsi:type="dcterms:W3CDTF">2023-12-11T12:10:00Z</dcterms:created>
  <dcterms:modified xsi:type="dcterms:W3CDTF">2023-12-11T13:16:00Z</dcterms:modified>
</cp:coreProperties>
</file>