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0BB" w14:textId="77777777" w:rsidR="00D27F4B" w:rsidRPr="00DB17EA" w:rsidRDefault="006F325F" w:rsidP="00D27F4B">
      <w:pPr>
        <w:jc w:val="center"/>
        <w:rPr>
          <w:rFonts w:asciiTheme="minorHAnsi" w:hAnsiTheme="minorHAnsi" w:cstheme="minorHAnsi"/>
          <w:b/>
          <w:sz w:val="28"/>
          <w:szCs w:val="28"/>
        </w:rPr>
      </w:pPr>
      <w:r w:rsidRPr="00DB17EA">
        <w:rPr>
          <w:rFonts w:asciiTheme="minorHAnsi" w:hAnsiTheme="minorHAnsi" w:cstheme="minorHAnsi"/>
          <w:b/>
          <w:sz w:val="28"/>
          <w:szCs w:val="28"/>
        </w:rPr>
        <w:t>SMLOUVA</w:t>
      </w:r>
      <w:r w:rsidR="00D27F4B" w:rsidRPr="00DB17EA">
        <w:rPr>
          <w:rFonts w:asciiTheme="minorHAnsi" w:hAnsiTheme="minorHAnsi" w:cstheme="minorHAnsi"/>
          <w:b/>
          <w:sz w:val="28"/>
          <w:szCs w:val="28"/>
        </w:rPr>
        <w:t xml:space="preserve"> O ÚPRAVĚ PRÁV A POVINNOSTÍ </w:t>
      </w:r>
      <w:r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Uzavřená dle ust.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7068A52A"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D0242E">
        <w:rPr>
          <w:rFonts w:asciiTheme="minorHAnsi" w:hAnsiTheme="minorHAnsi" w:cstheme="minorHAnsi"/>
          <w:b/>
          <w:bCs/>
          <w:sz w:val="22"/>
          <w:szCs w:val="22"/>
          <w:highlight w:val="yellow"/>
        </w:rPr>
        <w:t>________________</w:t>
      </w:r>
    </w:p>
    <w:p w14:paraId="5C97651A" w14:textId="387864F2" w:rsidR="00A2268C" w:rsidRPr="00DB17EA" w:rsidRDefault="00A2268C" w:rsidP="00A2268C">
      <w:pPr>
        <w:ind w:left="1131" w:firstLine="993"/>
        <w:jc w:val="both"/>
        <w:rPr>
          <w:rFonts w:asciiTheme="minorHAnsi" w:hAnsiTheme="minorHAnsi" w:cstheme="minorHAnsi"/>
          <w:sz w:val="22"/>
          <w:szCs w:val="22"/>
        </w:rPr>
      </w:pPr>
      <w:r w:rsidRPr="00DB17EA">
        <w:rPr>
          <w:rFonts w:asciiTheme="minorHAnsi" w:hAnsiTheme="minorHAnsi" w:cstheme="minorHAnsi"/>
          <w:b/>
          <w:bCs/>
          <w:sz w:val="22"/>
          <w:szCs w:val="22"/>
        </w:rPr>
        <w:t xml:space="preserve">IČ: </w:t>
      </w:r>
      <w:r w:rsidRPr="00D0242E">
        <w:rPr>
          <w:rFonts w:asciiTheme="minorHAnsi" w:hAnsiTheme="minorHAnsi" w:cstheme="minorHAnsi"/>
          <w:b/>
          <w:bCs/>
          <w:sz w:val="22"/>
          <w:szCs w:val="22"/>
          <w:highlight w:val="yellow"/>
        </w:rPr>
        <w:t>_________</w:t>
      </w:r>
      <w:r w:rsidR="00D0242E">
        <w:rPr>
          <w:rFonts w:asciiTheme="minorHAnsi" w:hAnsiTheme="minorHAnsi" w:cstheme="minorHAnsi"/>
          <w:sz w:val="22"/>
          <w:szCs w:val="22"/>
          <w:highlight w:val="yellow"/>
        </w:rPr>
        <w:t>____</w:t>
      </w:r>
    </w:p>
    <w:p w14:paraId="370E79BA" w14:textId="23E27139"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 xml:space="preserve">DIČ: </w:t>
      </w:r>
      <w:r w:rsidRPr="00D0242E">
        <w:rPr>
          <w:rFonts w:asciiTheme="minorHAnsi" w:hAnsiTheme="minorHAnsi" w:cstheme="minorHAnsi"/>
          <w:b/>
          <w:bCs/>
          <w:sz w:val="22"/>
          <w:szCs w:val="22"/>
          <w:highlight w:val="yellow"/>
        </w:rPr>
        <w:t>____________</w:t>
      </w:r>
    </w:p>
    <w:p w14:paraId="4160A1E6"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Pr="00D0242E">
        <w:rPr>
          <w:rFonts w:asciiTheme="minorHAnsi" w:hAnsiTheme="minorHAnsi" w:cstheme="minorHAnsi"/>
          <w:sz w:val="22"/>
          <w:szCs w:val="22"/>
          <w:highlight w:val="yellow"/>
        </w:rPr>
        <w:t>____________________________</w:t>
      </w:r>
    </w:p>
    <w:p w14:paraId="332FB96A"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D0242E">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 xml:space="preserve">zn. </w:t>
      </w:r>
      <w:r w:rsidRPr="00D0242E">
        <w:rPr>
          <w:rFonts w:asciiTheme="minorHAnsi" w:hAnsiTheme="minorHAnsi" w:cstheme="minorHAnsi"/>
          <w:sz w:val="22"/>
          <w:szCs w:val="22"/>
          <w:highlight w:val="yellow"/>
        </w:rPr>
        <w:t>______</w:t>
      </w:r>
    </w:p>
    <w:p w14:paraId="48E8EE9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Pr="00D0242E">
        <w:rPr>
          <w:rFonts w:asciiTheme="minorHAnsi" w:hAnsiTheme="minorHAnsi" w:cstheme="minorHAnsi"/>
          <w:sz w:val="22"/>
          <w:szCs w:val="22"/>
          <w:highlight w:val="yellow"/>
        </w:rPr>
        <w:t>_____________________</w:t>
      </w:r>
    </w:p>
    <w:p w14:paraId="2B1559CA"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Pr="00D0242E">
        <w:rPr>
          <w:rFonts w:asciiTheme="minorHAnsi" w:hAnsiTheme="minorHAnsi" w:cstheme="minorHAnsi"/>
          <w:sz w:val="22"/>
          <w:szCs w:val="22"/>
          <w:highlight w:val="yellow"/>
        </w:rPr>
        <w:t>___________________________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77777777"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Pr="00D0242E">
        <w:rPr>
          <w:rFonts w:asciiTheme="minorHAnsi" w:hAnsiTheme="minorHAnsi" w:cstheme="minorHAnsi"/>
          <w:sz w:val="22"/>
          <w:szCs w:val="22"/>
          <w:highlight w:val="yellow"/>
        </w:rPr>
        <w:t>__________________________</w:t>
      </w:r>
      <w:r w:rsidRPr="00DB17EA">
        <w:rPr>
          <w:rFonts w:asciiTheme="minorHAnsi" w:hAnsiTheme="minorHAnsi" w:cstheme="minorHAnsi"/>
          <w:sz w:val="22"/>
          <w:szCs w:val="22"/>
        </w:rPr>
        <w:t>, jednatelem</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t>NemLog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zapsaná v obchodním rejstříku vedeném Městským soudem v Praze pod sp.zn.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77777777"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zastoupená Milanem Zápotockým, předsedou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Pr="00DB17EA" w:rsidRDefault="00347A58" w:rsidP="00D16C5F">
      <w:pPr>
        <w:jc w:val="center"/>
        <w:rPr>
          <w:rFonts w:asciiTheme="minorHAnsi" w:hAnsiTheme="minorHAnsi" w:cstheme="minorHAnsi"/>
          <w:sz w:val="22"/>
          <w:szCs w:val="22"/>
        </w:rPr>
      </w:pPr>
      <w:r w:rsidRPr="00DB17EA">
        <w:rPr>
          <w:rFonts w:asciiTheme="minorHAnsi" w:hAnsiTheme="minorHAnsi" w:cstheme="minorHAnsi"/>
          <w:b/>
          <w:bCs/>
          <w:sz w:val="22"/>
          <w:szCs w:val="22"/>
        </w:rPr>
        <w:t>PREAMBULE</w:t>
      </w: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Poskytovatel je provozovatelem konsignačního skladu umístěného na adrese K Arconu 77, Jažlovice,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77777777" w:rsidR="00126F12" w:rsidRPr="00DB17EA"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6F325F" w:rsidRPr="00DB17EA">
        <w:rPr>
          <w:rFonts w:asciiTheme="minorHAnsi" w:hAnsiTheme="minorHAnsi" w:cstheme="minorHAnsi"/>
          <w:bCs/>
          <w:sz w:val="22"/>
          <w:szCs w:val="22"/>
        </w:rPr>
        <w:t xml:space="preserve">smlouvu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77777777" w:rsidR="00D27F4B" w:rsidRPr="00DB17EA" w:rsidRDefault="00154A71" w:rsidP="00D27F4B">
      <w:pPr>
        <w:jc w:val="center"/>
        <w:rPr>
          <w:rFonts w:asciiTheme="minorHAnsi" w:hAnsiTheme="minorHAnsi" w:cstheme="minorHAnsi"/>
          <w:b/>
          <w:sz w:val="22"/>
          <w:szCs w:val="22"/>
        </w:rPr>
      </w:pPr>
      <w:r w:rsidRPr="00DB17EA">
        <w:rPr>
          <w:rFonts w:asciiTheme="minorHAnsi" w:hAnsiTheme="minorHAnsi" w:cstheme="minorHAnsi"/>
          <w:b/>
          <w:sz w:val="22"/>
          <w:szCs w:val="22"/>
        </w:rPr>
        <w:br w:type="page"/>
      </w:r>
      <w:r w:rsidR="00347A58" w:rsidRPr="00DB17EA">
        <w:rPr>
          <w:rFonts w:asciiTheme="minorHAnsi" w:hAnsiTheme="minorHAnsi" w:cstheme="minorHAnsi"/>
          <w:b/>
          <w:sz w:val="22"/>
          <w:szCs w:val="22"/>
        </w:rPr>
        <w:lastRenderedPageBreak/>
        <w:t>DEFINICE</w:t>
      </w:r>
    </w:p>
    <w:p w14:paraId="4B7AF0A7" w14:textId="77777777" w:rsidR="00D27F4B" w:rsidRPr="00DB17EA" w:rsidRDefault="00D27F4B" w:rsidP="00D27F4B">
      <w:pPr>
        <w:rPr>
          <w:rFonts w:asciiTheme="minorHAnsi" w:hAnsiTheme="minorHAnsi" w:cstheme="minorHAnsi"/>
          <w:b/>
          <w:sz w:val="22"/>
          <w:szCs w:val="22"/>
        </w:rPr>
      </w:pPr>
    </w:p>
    <w:p w14:paraId="466F10A8" w14:textId="77777777" w:rsidR="00D27F4B" w:rsidRPr="00DB17EA" w:rsidRDefault="00D27F4B" w:rsidP="00D23CDF">
      <w:pPr>
        <w:numPr>
          <w:ilvl w:val="1"/>
          <w:numId w:val="1"/>
        </w:numPr>
        <w:rPr>
          <w:rFonts w:asciiTheme="minorHAnsi" w:hAnsiTheme="minorHAnsi" w:cstheme="minorHAnsi"/>
          <w:sz w:val="22"/>
          <w:szCs w:val="22"/>
        </w:rPr>
      </w:pPr>
      <w:r w:rsidRPr="00DB17EA">
        <w:rPr>
          <w:rFonts w:asciiTheme="minorHAnsi" w:hAnsiTheme="minorHAnsi" w:cstheme="minorHAnsi"/>
          <w:sz w:val="22"/>
          <w:szCs w:val="22"/>
        </w:rPr>
        <w:t>Následující výrazy mají v</w:t>
      </w:r>
      <w:r w:rsidR="00767B3F" w:rsidRPr="00DB17EA">
        <w:rPr>
          <w:rFonts w:asciiTheme="minorHAnsi" w:hAnsiTheme="minorHAnsi" w:cstheme="minorHAnsi"/>
          <w:sz w:val="22"/>
          <w:szCs w:val="22"/>
        </w:rPr>
        <w:t> této smlouvě</w:t>
      </w:r>
      <w:r w:rsidRPr="00DB17EA">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shd w:val="clear" w:color="auto" w:fill="auto"/>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shd w:val="clear" w:color="auto" w:fill="auto"/>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Arconu 77</w:t>
            </w:r>
            <w:r w:rsidRPr="00DB17EA">
              <w:rPr>
                <w:rFonts w:asciiTheme="minorHAnsi" w:hAnsiTheme="minorHAnsi" w:cstheme="minorHAnsi"/>
                <w:sz w:val="22"/>
                <w:szCs w:val="22"/>
              </w:rPr>
              <w:t xml:space="preserve">, </w:t>
            </w:r>
            <w:r w:rsidR="006F325F" w:rsidRPr="00DB17EA">
              <w:rPr>
                <w:rFonts w:asciiTheme="minorHAnsi" w:hAnsiTheme="minorHAnsi" w:cstheme="minorHAnsi"/>
                <w:sz w:val="22"/>
                <w:szCs w:val="22"/>
              </w:rPr>
              <w:t xml:space="preserve">Jažlovice,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shd w:val="clear" w:color="auto" w:fill="auto"/>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shd w:val="clear" w:color="auto" w:fill="auto"/>
          </w:tcPr>
          <w:p w14:paraId="1043FFFF" w14:textId="51A25F94"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smlouvy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jednotlivými dohodami Smluvních stran v průběhu plnění této smlouvy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shd w:val="clear" w:color="auto" w:fill="auto"/>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shd w:val="clear" w:color="auto" w:fill="auto"/>
          </w:tcPr>
          <w:p w14:paraId="04C6065A" w14:textId="77777777"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smlouvy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k okamžiku uzavření této smlouvy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shd w:val="clear" w:color="auto" w:fill="auto"/>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shd w:val="clear" w:color="auto" w:fill="auto"/>
          </w:tcPr>
          <w:p w14:paraId="2E790779" w14:textId="6B43F39F"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ve formátu .xls či .xlsx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smlouvy a který navazuje na Startovací přehled položek a představuje jeho změny</w:t>
            </w:r>
            <w:r w:rsidR="00390871" w:rsidRPr="0031660A">
              <w:rPr>
                <w:rFonts w:asciiTheme="minorHAnsi" w:hAnsiTheme="minorHAnsi" w:cstheme="minorHAnsi"/>
                <w:sz w:val="22"/>
                <w:szCs w:val="22"/>
              </w:rPr>
              <w:t xml:space="preserve"> n</w:t>
            </w:r>
            <w:r w:rsidR="00A46F15">
              <w:rPr>
                <w:rFonts w:asciiTheme="minorHAnsi" w:hAnsiTheme="minorHAnsi" w:cstheme="minorHAnsi"/>
                <w:sz w:val="22"/>
                <w:szCs w:val="22"/>
              </w:rPr>
              <w:t>a</w:t>
            </w:r>
            <w:r w:rsidR="00390871" w:rsidRPr="0031660A">
              <w:rPr>
                <w:rFonts w:asciiTheme="minorHAnsi" w:hAnsiTheme="minorHAnsi" w:cstheme="minorHAnsi"/>
                <w:sz w:val="22"/>
                <w:szCs w:val="22"/>
              </w:rPr>
              <w:t xml:space="preserve"> základě dohody Smluvních stran</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shd w:val="clear" w:color="auto" w:fill="auto"/>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shd w:val="clear" w:color="auto" w:fill="auto"/>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shd w:val="clear" w:color="auto" w:fill="auto"/>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shd w:val="clear" w:color="auto" w:fill="auto"/>
          </w:tcPr>
          <w:p w14:paraId="1FF12244"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osobu – zdravotnické zařízení </w:t>
            </w:r>
            <w:r w:rsidRPr="0031660A">
              <w:rPr>
                <w:rFonts w:asciiTheme="minorHAnsi" w:hAnsiTheme="minorHAnsi" w:cstheme="minorHAnsi"/>
                <w:bCs/>
                <w:sz w:val="22"/>
                <w:szCs w:val="22"/>
              </w:rPr>
              <w:t xml:space="preserve">ve smyslu ZZS, </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shd w:val="clear" w:color="auto" w:fill="auto"/>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shd w:val="clear" w:color="auto" w:fill="auto"/>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shd w:val="clear" w:color="auto" w:fill="auto"/>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shd w:val="clear" w:color="auto" w:fill="auto"/>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77777777"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PŘEDMĚT SMLOUVY</w:t>
      </w:r>
    </w:p>
    <w:p w14:paraId="5F3E2EE9" w14:textId="77777777" w:rsidR="00D27F4B" w:rsidRPr="0031660A" w:rsidRDefault="00D27F4B" w:rsidP="00D27F4B">
      <w:pPr>
        <w:rPr>
          <w:rFonts w:asciiTheme="minorHAnsi" w:hAnsiTheme="minorHAnsi" w:cstheme="minorHAnsi"/>
          <w:b/>
          <w:sz w:val="22"/>
          <w:szCs w:val="22"/>
        </w:rPr>
      </w:pPr>
    </w:p>
    <w:p w14:paraId="6F9A7D54" w14:textId="77777777"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smlouvou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smlouvy a Dodavatel se zavazuje za tyto řádně poskytnuté služby platit Poskytovateli odměnu sjednanou v čl. </w:t>
      </w:r>
      <w:r w:rsidR="00D413FD" w:rsidRPr="0031660A">
        <w:rPr>
          <w:rFonts w:asciiTheme="minorHAnsi" w:hAnsiTheme="minorHAnsi" w:cstheme="minorHAnsi"/>
          <w:sz w:val="22"/>
          <w:szCs w:val="22"/>
        </w:rPr>
        <w:t>VII</w:t>
      </w:r>
      <w:r w:rsidR="00C65B83" w:rsidRPr="0031660A">
        <w:rPr>
          <w:rFonts w:asciiTheme="minorHAnsi" w:hAnsiTheme="minorHAnsi" w:cstheme="minorHAnsi"/>
          <w:sz w:val="22"/>
          <w:szCs w:val="22"/>
        </w:rPr>
        <w:t>. této smlouvy.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77777777"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 A JEJICH ZMĚNY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77777777"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1260BB" w:rsidRPr="0031660A">
        <w:rPr>
          <w:rFonts w:asciiTheme="minorHAnsi" w:hAnsiTheme="minorHAnsi" w:cstheme="minorHAnsi"/>
          <w:sz w:val="22"/>
          <w:szCs w:val="22"/>
        </w:rPr>
        <w:t> Koncovými odběrateli</w:t>
      </w:r>
      <w:r w:rsidR="00D27F4B" w:rsidRPr="0031660A">
        <w:rPr>
          <w:rFonts w:asciiTheme="minorHAnsi" w:hAnsiTheme="minorHAnsi" w:cstheme="minorHAnsi"/>
          <w:sz w:val="22"/>
          <w:szCs w:val="22"/>
        </w:rPr>
        <w:t xml:space="preserve"> 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jednotlivých </w:t>
      </w:r>
      <w:r w:rsidR="001260BB" w:rsidRPr="0031660A">
        <w:rPr>
          <w:rFonts w:asciiTheme="minorHAnsi" w:hAnsiTheme="minorHAnsi" w:cstheme="minorHAnsi"/>
          <w:sz w:val="22"/>
          <w:szCs w:val="22"/>
        </w:rPr>
        <w:t xml:space="preserve">Koncových </w:t>
      </w:r>
      <w:r w:rsidR="00D27F4B" w:rsidRPr="0031660A">
        <w:rPr>
          <w:rFonts w:asciiTheme="minorHAnsi" w:hAnsiTheme="minorHAnsi" w:cstheme="minorHAnsi"/>
          <w:sz w:val="22"/>
          <w:szCs w:val="22"/>
        </w:rPr>
        <w:t>odběratelů.</w:t>
      </w:r>
    </w:p>
    <w:p w14:paraId="4CF12418" w14:textId="77777777" w:rsidR="00993E21" w:rsidRPr="00FD1D17" w:rsidRDefault="00993E21" w:rsidP="00993E21">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5A02928C" w14:textId="71EBE89C" w:rsidR="001260BB" w:rsidRPr="00FD1D17" w:rsidRDefault="00860FB7" w:rsidP="007C64B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lastRenderedPageBreak/>
        <w:t>Změny</w:t>
      </w:r>
      <w:r w:rsidR="001260BB"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Startovací</w:t>
      </w:r>
      <w:r w:rsidRPr="00FD1D17">
        <w:rPr>
          <w:rFonts w:asciiTheme="minorHAnsi" w:hAnsiTheme="minorHAnsi" w:cstheme="minorHAnsi"/>
          <w:sz w:val="22"/>
          <w:szCs w:val="22"/>
        </w:rPr>
        <w:t>ho</w:t>
      </w:r>
      <w:r w:rsidR="00390871" w:rsidRPr="00FD1D17">
        <w:rPr>
          <w:rFonts w:asciiTheme="minorHAnsi" w:hAnsiTheme="minorHAnsi" w:cstheme="minorHAnsi"/>
          <w:sz w:val="22"/>
          <w:szCs w:val="22"/>
        </w:rPr>
        <w:t xml:space="preserve"> přehled</w:t>
      </w:r>
      <w:r w:rsidRPr="00FD1D17">
        <w:rPr>
          <w:rFonts w:asciiTheme="minorHAnsi" w:hAnsiTheme="minorHAnsi" w:cstheme="minorHAnsi"/>
          <w:sz w:val="22"/>
          <w:szCs w:val="22"/>
        </w:rPr>
        <w:t>u</w:t>
      </w:r>
      <w:r w:rsidR="00390871" w:rsidRPr="00FD1D17">
        <w:rPr>
          <w:rFonts w:asciiTheme="minorHAnsi" w:hAnsiTheme="minorHAnsi" w:cstheme="minorHAnsi"/>
          <w:sz w:val="22"/>
          <w:szCs w:val="22"/>
        </w:rPr>
        <w:t xml:space="preserve"> položek</w:t>
      </w:r>
      <w:r w:rsidR="001260BB" w:rsidRPr="00FD1D17">
        <w:rPr>
          <w:rFonts w:asciiTheme="minorHAnsi" w:hAnsiTheme="minorHAnsi" w:cstheme="minorHAnsi"/>
          <w:sz w:val="22"/>
          <w:szCs w:val="22"/>
        </w:rPr>
        <w:t xml:space="preserve"> </w:t>
      </w:r>
      <w:r w:rsidRPr="00FD1D17">
        <w:rPr>
          <w:rFonts w:asciiTheme="minorHAnsi" w:hAnsiTheme="minorHAnsi" w:cstheme="minorHAnsi"/>
          <w:sz w:val="22"/>
          <w:szCs w:val="22"/>
        </w:rPr>
        <w:t>jsou možné v souladu s</w:t>
      </w:r>
      <w:r w:rsidR="007C64BA" w:rsidRPr="00FD1D17">
        <w:rPr>
          <w:rFonts w:asciiTheme="minorHAnsi" w:hAnsiTheme="minorHAnsi" w:cstheme="minorHAnsi"/>
          <w:sz w:val="22"/>
          <w:szCs w:val="22"/>
        </w:rPr>
        <w:t xml:space="preserve"> aktuálně platný</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ujednání</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s Koncovými odběrateli ohledně objemu</w:t>
      </w:r>
      <w:r w:rsidR="00FD1D17">
        <w:rPr>
          <w:rFonts w:asciiTheme="minorHAnsi" w:hAnsiTheme="minorHAnsi" w:cstheme="minorHAnsi"/>
          <w:sz w:val="22"/>
          <w:szCs w:val="22"/>
        </w:rPr>
        <w:t>,</w:t>
      </w:r>
      <w:r w:rsidR="00D54357">
        <w:rPr>
          <w:rFonts w:asciiTheme="minorHAnsi" w:hAnsiTheme="minorHAnsi" w:cstheme="minorHAnsi"/>
          <w:sz w:val="22"/>
          <w:szCs w:val="22"/>
        </w:rPr>
        <w:t xml:space="preserve"> </w:t>
      </w:r>
      <w:r w:rsidR="007C64BA" w:rsidRPr="00FD1D17">
        <w:rPr>
          <w:rFonts w:asciiTheme="minorHAnsi" w:hAnsiTheme="minorHAnsi" w:cstheme="minorHAnsi"/>
          <w:sz w:val="22"/>
          <w:szCs w:val="22"/>
        </w:rPr>
        <w:t>druhu</w:t>
      </w:r>
      <w:r w:rsidR="00FD1D17">
        <w:rPr>
          <w:rFonts w:asciiTheme="minorHAnsi" w:hAnsiTheme="minorHAnsi" w:cstheme="minorHAnsi"/>
          <w:sz w:val="22"/>
          <w:szCs w:val="22"/>
        </w:rPr>
        <w:t xml:space="preserve"> a ceny </w:t>
      </w:r>
      <w:r w:rsidR="007C64BA" w:rsidRPr="00FD1D17">
        <w:rPr>
          <w:rFonts w:asciiTheme="minorHAnsi" w:hAnsiTheme="minorHAnsi" w:cstheme="minorHAnsi"/>
          <w:sz w:val="22"/>
          <w:szCs w:val="22"/>
        </w:rPr>
        <w:t xml:space="preserve"> odebíraného zboží. </w:t>
      </w:r>
      <w:r w:rsidR="00D54357">
        <w:rPr>
          <w:rFonts w:asciiTheme="minorHAnsi" w:hAnsiTheme="minorHAnsi" w:cstheme="minorHAnsi"/>
          <w:sz w:val="22"/>
          <w:szCs w:val="22"/>
        </w:rPr>
        <w:t>Postup přijímání změn Startovacího přehledu položek se řídí pravidly uvedenými níže v čl. II odst. 4. a 5. této smlouvy.</w:t>
      </w:r>
    </w:p>
    <w:p w14:paraId="2FBCD8EE" w14:textId="77777777"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smlouvy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 xml:space="preserve">eníky prostřednictvím elektronické pošty v elektronické podobě ve formátu .xls </w:t>
      </w:r>
      <w:r w:rsidR="00390871" w:rsidRPr="00FD1D17">
        <w:rPr>
          <w:rFonts w:asciiTheme="minorHAnsi" w:hAnsiTheme="minorHAnsi" w:cstheme="minorHAnsi"/>
          <w:sz w:val="22"/>
          <w:szCs w:val="22"/>
        </w:rPr>
        <w:t>či .xlsx</w:t>
      </w:r>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 xml:space="preserve">Následné změny těchto Ceníků jsou možné na základě dohody Smluvních stran, a to formou písemného potvrzení návrhu nového Ceníku ze strany Poskytovatele. </w:t>
      </w:r>
      <w:r w:rsidR="00993E21" w:rsidRPr="00FD1D17">
        <w:rPr>
          <w:rFonts w:asciiTheme="minorHAnsi" w:hAnsiTheme="minorHAnsi" w:cstheme="minorHAnsi"/>
          <w:sz w:val="22"/>
          <w:szCs w:val="22"/>
        </w:rPr>
        <w:t>Z</w:t>
      </w:r>
      <w:r w:rsidRPr="00FD1D17">
        <w:rPr>
          <w:rFonts w:asciiTheme="minorHAnsi" w:hAnsiTheme="minorHAnsi" w:cstheme="minorHAnsi"/>
          <w:sz w:val="22"/>
          <w:szCs w:val="22"/>
        </w:rPr>
        <w:t xml:space="preserve">měna </w:t>
      </w:r>
      <w:r w:rsidR="00373B07" w:rsidRPr="00FD1D17">
        <w:rPr>
          <w:rFonts w:asciiTheme="minorHAnsi" w:hAnsiTheme="minorHAnsi" w:cstheme="minorHAnsi"/>
          <w:sz w:val="22"/>
          <w:szCs w:val="22"/>
        </w:rPr>
        <w:t>Ceníku</w:t>
      </w:r>
      <w:r w:rsidRPr="00FD1D17">
        <w:rPr>
          <w:rFonts w:asciiTheme="minorHAnsi" w:hAnsiTheme="minorHAnsi" w:cstheme="minorHAnsi"/>
          <w:sz w:val="22"/>
          <w:szCs w:val="22"/>
        </w:rPr>
        <w:t xml:space="preserve"> dodávaného zboží je </w:t>
      </w:r>
      <w:r w:rsidR="00993E21" w:rsidRPr="00FD1D17">
        <w:rPr>
          <w:rFonts w:asciiTheme="minorHAnsi" w:hAnsiTheme="minorHAnsi" w:cstheme="minorHAnsi"/>
          <w:sz w:val="22"/>
          <w:szCs w:val="22"/>
        </w:rPr>
        <w:t xml:space="preserve">pro účely plnění povinností Poskytovatele z této smlouvy </w:t>
      </w:r>
      <w:r w:rsidRPr="00FD1D17">
        <w:rPr>
          <w:rFonts w:asciiTheme="minorHAnsi" w:hAnsiTheme="minorHAnsi" w:cstheme="minorHAnsi"/>
          <w:sz w:val="22"/>
          <w:szCs w:val="22"/>
        </w:rPr>
        <w:t xml:space="preserve">účinná nejdříve od prvního dne kalendářního měsíce následujícího po měsíci, v němž byl </w:t>
      </w:r>
      <w:r w:rsidR="00373B07" w:rsidRPr="00FD1D17">
        <w:rPr>
          <w:rFonts w:asciiTheme="minorHAnsi" w:hAnsiTheme="minorHAnsi" w:cstheme="minorHAnsi"/>
          <w:sz w:val="22"/>
          <w:szCs w:val="22"/>
        </w:rPr>
        <w:t>návrh nového Ceníku Poskytovatelem potvrzen</w:t>
      </w:r>
      <w:r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nedohodnou-li se Smluvní strany</w:t>
      </w:r>
      <w:r w:rsidRPr="00FD1D17">
        <w:rPr>
          <w:rFonts w:asciiTheme="minorHAnsi" w:hAnsiTheme="minorHAnsi" w:cstheme="minorHAnsi"/>
          <w:sz w:val="22"/>
          <w:szCs w:val="22"/>
        </w:rPr>
        <w:t xml:space="preserve"> jinak. </w:t>
      </w:r>
      <w:r w:rsidR="00993E21" w:rsidRPr="00FD1D17">
        <w:rPr>
          <w:rFonts w:asciiTheme="minorHAnsi" w:hAnsiTheme="minorHAnsi" w:cstheme="minorHAnsi"/>
          <w:sz w:val="22"/>
          <w:szCs w:val="22"/>
        </w:rPr>
        <w:t>Dodavatel odpovídá Poskytovateli za to, že data uvedená v ceníku neodporují vzájemným ujednáním Dodavatele a Koncového odběratele.</w:t>
      </w:r>
    </w:p>
    <w:p w14:paraId="7ADAF4A7" w14:textId="77777777" w:rsidR="00034DB6" w:rsidRPr="00FD1D17" w:rsidRDefault="00034DB6" w:rsidP="00EF084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Nepotvrdí-li Poskytovatel Dodavateli návrh nového Ceníku, případně nenabyl-li ještě potvrzený nový Ceník účinnosti, řídí se Smluvní strany při plnění této smlouvy dále posledním účinným zněním Ceníku.</w:t>
      </w:r>
    </w:p>
    <w:p w14:paraId="3CE8B4D6" w14:textId="7777777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smlouvy výše Konsignační zásoby optimalizována na základě poznatků získaných při plnění této smlouvy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77777777"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Konsignační zásoby zašle Poskytovatel Dodavateli elektronickou poštou na kontaktní adresu uvedenou v hlavičce této smlouvy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je nutné do Konsignačního skladu doplnit pro zajištění řádné realizace dodávek zboží Koncovým odběratelům,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77777777"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smlouvy dodávat do Konsignačního skladu, a prohlašuje, že splňuje veškeré podmínky pro vydání takového příslušného povolení a dále prohlašuje, že dodržuje zásady správné distribuční praxe a zavazuje se tyto podmínky dodržovat po celou dobu účinnosti této smlouvy. V případě, že Dodavatel využije k plnění svých povinností z této smlouvy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77777777"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w:t>
      </w:r>
      <w:r w:rsidRPr="00E9271E">
        <w:rPr>
          <w:rFonts w:asciiTheme="minorHAnsi" w:hAnsiTheme="minorHAnsi" w:cstheme="minorHAnsi"/>
          <w:sz w:val="22"/>
          <w:szCs w:val="22"/>
        </w:rPr>
        <w:lastRenderedPageBreak/>
        <w:t>na doplnění KS, dodacím či přepravním listem (převodkou zboží) a ověření souladu délky exspiračních lhůt s požadavky v této smlouvě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77777777"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 odst. 4), případně do předání zboží zpět Dodavateli v případech předvídaných touto smlouvou.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77777777"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odpovídá za zajištění pojištění odpovědnosti za škodu způsobenou na majetku třetích osob po dobu trvání této smlouvy.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Dodavatel je oprávněn provést prohlídku skladovaných Konsignačních zásob kdykoliv v pracovních dnech od 9:00 hod do 15:00 hod na základě předchozího písemného oznámení doručeného Poskytovateli 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587B0473" w14:textId="77777777" w:rsidR="00AF5836" w:rsidRPr="009C2C9C" w:rsidRDefault="001B6241" w:rsidP="00AF5836">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bude pravidelně (minimálně jednou ročně) provádět inventuru Konsignačních zásob za přítomnosti zástupce společnosti Dodavatel</w:t>
      </w:r>
      <w:r w:rsidR="008325C9" w:rsidRPr="009C2C9C">
        <w:rPr>
          <w:rFonts w:asciiTheme="minorHAnsi" w:hAnsiTheme="minorHAnsi" w:cstheme="minorHAnsi"/>
          <w:sz w:val="22"/>
          <w:szCs w:val="22"/>
        </w:rPr>
        <w:t>e</w:t>
      </w:r>
      <w:r w:rsidRPr="009C2C9C">
        <w:rPr>
          <w:rFonts w:asciiTheme="minorHAnsi" w:hAnsiTheme="minorHAnsi" w:cstheme="minorHAnsi"/>
          <w:sz w:val="22"/>
          <w:szCs w:val="22"/>
        </w:rPr>
        <w:t xml:space="preserve">. Inventura bude provedena na základě příkazu k provedení inventury konsignačních zásob. Příkaz k provedení inventury sestavuje Poskytovatel na základě dohody s Dodavatelem. Obsahem příkazu je stanovení postupu, termínu inventury a odpovědných osob za obě Smluvní strany. O provedení inventury Poskytovatel vyhotoví písemný zápis, který zašle Dodavateli k odsouhlasení. Náklady spojené s provedením pravidelné inventury nese Poskytovatel. </w:t>
      </w:r>
    </w:p>
    <w:p w14:paraId="026699A8" w14:textId="77777777" w:rsidR="00F47B78" w:rsidRPr="009C2C9C" w:rsidRDefault="001B6241" w:rsidP="00506ABC">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 plné výši na základě faktury vystavené Poskytovatelem se splatností šedesát (60) dní</w:t>
      </w:r>
      <w:r w:rsidR="00AF5836" w:rsidRPr="009C2C9C">
        <w:rPr>
          <w:rFonts w:asciiTheme="minorHAnsi" w:hAnsiTheme="minorHAnsi" w:cstheme="minorHAnsi"/>
          <w:sz w:val="22"/>
          <w:szCs w:val="22"/>
        </w:rPr>
        <w:t xml:space="preserve">. </w:t>
      </w:r>
    </w:p>
    <w:p w14:paraId="35216865" w14:textId="1BFA75C2" w:rsidR="00AF5836" w:rsidRPr="009C2C9C" w:rsidRDefault="00F47B78" w:rsidP="00347A58">
      <w:pPr>
        <w:numPr>
          <w:ilvl w:val="0"/>
          <w:numId w:val="11"/>
        </w:numPr>
        <w:jc w:val="both"/>
        <w:rPr>
          <w:rFonts w:asciiTheme="minorHAnsi" w:hAnsiTheme="minorHAnsi" w:cstheme="minorHAnsi"/>
          <w:sz w:val="22"/>
          <w:szCs w:val="22"/>
        </w:rPr>
      </w:pPr>
      <w:r w:rsidRPr="009C2C9C">
        <w:rPr>
          <w:rFonts w:asciiTheme="minorHAnsi" w:hAnsiTheme="minorHAnsi" w:cstheme="minorHAnsi"/>
          <w:sz w:val="22"/>
          <w:szCs w:val="22"/>
        </w:rPr>
        <w:t>Poskytovatel odpovídá Dodavateli za újmu způsobenou rozdíly ve stavech Konsignačních zásob zjištěných při fyzické inventuře vyplývajících ze závěrečného zápisu inventury odsouhlaseného oběma Smluvními stranami. Pro účely stanovení náhrady škody bude rozhodující</w:t>
      </w:r>
      <w:r w:rsidR="00CD41D7">
        <w:rPr>
          <w:rFonts w:asciiTheme="minorHAnsi" w:hAnsiTheme="minorHAnsi" w:cstheme="minorHAnsi"/>
          <w:sz w:val="22"/>
          <w:szCs w:val="22"/>
        </w:rPr>
        <w:t xml:space="preserve"> průměrná</w:t>
      </w:r>
      <w:r w:rsidRPr="009C2C9C">
        <w:rPr>
          <w:rFonts w:asciiTheme="minorHAnsi" w:hAnsiTheme="minorHAnsi" w:cstheme="minorHAnsi"/>
          <w:sz w:val="22"/>
          <w:szCs w:val="22"/>
        </w:rPr>
        <w:t xml:space="preserve"> cena zboží, na kterém vznikla škoda, </w:t>
      </w:r>
      <w:r w:rsidR="00EF084A" w:rsidRPr="009C2C9C">
        <w:rPr>
          <w:rFonts w:asciiTheme="minorHAnsi" w:hAnsiTheme="minorHAnsi" w:cstheme="minorHAnsi"/>
          <w:sz w:val="22"/>
          <w:szCs w:val="22"/>
        </w:rPr>
        <w:t>dle Ceník</w:t>
      </w:r>
      <w:r w:rsidR="003F5349">
        <w:rPr>
          <w:rFonts w:asciiTheme="minorHAnsi" w:hAnsiTheme="minorHAnsi" w:cstheme="minorHAnsi"/>
          <w:sz w:val="22"/>
          <w:szCs w:val="22"/>
        </w:rPr>
        <w:t>ů</w:t>
      </w:r>
      <w:r w:rsidR="00EF084A" w:rsidRPr="009C2C9C">
        <w:rPr>
          <w:rFonts w:asciiTheme="minorHAnsi" w:hAnsiTheme="minorHAnsi" w:cstheme="minorHAnsi"/>
          <w:sz w:val="22"/>
          <w:szCs w:val="22"/>
        </w:rPr>
        <w:t xml:space="preserve"> platn</w:t>
      </w:r>
      <w:r w:rsidR="003F5349">
        <w:rPr>
          <w:rFonts w:asciiTheme="minorHAnsi" w:hAnsiTheme="minorHAnsi" w:cstheme="minorHAnsi"/>
          <w:sz w:val="22"/>
          <w:szCs w:val="22"/>
        </w:rPr>
        <w:t>ých</w:t>
      </w:r>
      <w:r w:rsidR="00EF084A" w:rsidRPr="009C2C9C">
        <w:rPr>
          <w:rFonts w:asciiTheme="minorHAnsi" w:hAnsiTheme="minorHAnsi" w:cstheme="minorHAnsi"/>
          <w:sz w:val="22"/>
          <w:szCs w:val="22"/>
        </w:rPr>
        <w:t xml:space="preserve"> ke </w:t>
      </w:r>
      <w:r w:rsidRPr="009C2C9C">
        <w:rPr>
          <w:rFonts w:asciiTheme="minorHAnsi" w:hAnsiTheme="minorHAnsi" w:cstheme="minorHAnsi"/>
          <w:sz w:val="22"/>
          <w:szCs w:val="22"/>
        </w:rPr>
        <w:t>dni vzniku škody, a pokud není možné den vzniku škody určit, ke dni, kdy se Smluvní strany o vzniku škody dozvěděl</w:t>
      </w:r>
      <w:r w:rsidR="00587C3D" w:rsidRPr="009C2C9C">
        <w:rPr>
          <w:rFonts w:asciiTheme="minorHAnsi" w:hAnsiTheme="minorHAnsi" w:cstheme="minorHAnsi"/>
          <w:sz w:val="22"/>
          <w:szCs w:val="22"/>
        </w:rPr>
        <w:t>y</w:t>
      </w:r>
      <w:r w:rsidRPr="009C2C9C">
        <w:rPr>
          <w:rFonts w:asciiTheme="minorHAnsi" w:hAnsiTheme="minorHAnsi" w:cstheme="minorHAnsi"/>
          <w:sz w:val="22"/>
          <w:szCs w:val="22"/>
        </w:rPr>
        <w:t>. Tímto ustanovením není dotčeno právo Dodavatele požadovat jinou náhradu škody podle obecně závazných právních předpisů. Náhrada škody, která bude prokazatelně stanovena, je splatná do šedesáti (60) dnů ode dne jejího uplatnění Dodavatelem u Poskytovatele.</w:t>
      </w:r>
    </w:p>
    <w:p w14:paraId="5DAEC488" w14:textId="77777777" w:rsidR="00F47B78" w:rsidRPr="009C2C9C" w:rsidRDefault="00F47B78" w:rsidP="00F47B78">
      <w:pPr>
        <w:ind w:left="720"/>
        <w:jc w:val="both"/>
        <w:rPr>
          <w:rFonts w:asciiTheme="minorHAnsi" w:hAnsiTheme="minorHAnsi" w:cstheme="minorHAnsi"/>
          <w:sz w:val="22"/>
          <w:szCs w:val="22"/>
        </w:rPr>
      </w:pPr>
    </w:p>
    <w:p w14:paraId="14B67E16"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77777777"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49770B" w:rsidRPr="009C2C9C">
        <w:rPr>
          <w:rFonts w:asciiTheme="minorHAnsi" w:hAnsiTheme="minorHAnsi" w:cstheme="minorHAnsi"/>
          <w:sz w:val="22"/>
          <w:szCs w:val="22"/>
        </w:rPr>
        <w:t>s</w:t>
      </w:r>
      <w:r w:rsidRPr="009C2C9C">
        <w:rPr>
          <w:rFonts w:asciiTheme="minorHAnsi" w:hAnsiTheme="minorHAnsi" w:cstheme="minorHAnsi"/>
          <w:sz w:val="22"/>
          <w:szCs w:val="22"/>
        </w:rPr>
        <w:t xml:space="preserve"> Koncovými odběrateli Konsignační zásoby skladovat, vychystávat z Konsignačního skladu, zajišťovat jejich dopravu Koncovým odběratelům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 této smlouvy.</w:t>
      </w:r>
    </w:p>
    <w:p w14:paraId="1EDCF5E2"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w:t>
      </w:r>
      <w:r w:rsidR="009D3C39" w:rsidRPr="009C2C9C">
        <w:rPr>
          <w:rFonts w:asciiTheme="minorHAnsi" w:hAnsiTheme="minorHAnsi" w:cstheme="minorHAnsi"/>
          <w:sz w:val="22"/>
          <w:szCs w:val="22"/>
        </w:rPr>
        <w:t>zavazuje na</w:t>
      </w:r>
      <w:r w:rsidR="00D27F4B" w:rsidRPr="009C2C9C">
        <w:rPr>
          <w:rFonts w:asciiTheme="minorHAnsi" w:hAnsiTheme="minorHAnsi" w:cstheme="minorHAnsi"/>
          <w:sz w:val="22"/>
          <w:szCs w:val="22"/>
        </w:rPr>
        <w:t xml:space="preserve"> základě písemných objednávek </w:t>
      </w:r>
      <w:r w:rsidR="00AF5836" w:rsidRPr="009C2C9C">
        <w:rPr>
          <w:rFonts w:asciiTheme="minorHAnsi" w:hAnsiTheme="minorHAnsi" w:cstheme="minorHAnsi"/>
          <w:sz w:val="22"/>
          <w:szCs w:val="22"/>
        </w:rPr>
        <w:t>Koncových odběratelů uvedených v příloze č.2</w:t>
      </w:r>
      <w:r w:rsidR="00D27F4B" w:rsidRPr="009C2C9C">
        <w:rPr>
          <w:rFonts w:asciiTheme="minorHAnsi" w:hAnsiTheme="minorHAnsi" w:cstheme="minorHAnsi"/>
          <w:sz w:val="22"/>
          <w:szCs w:val="22"/>
        </w:rPr>
        <w:t xml:space="preserve"> zajistit převzetí objednávek </w:t>
      </w:r>
      <w:r w:rsidR="00AF5836" w:rsidRPr="009C2C9C">
        <w:rPr>
          <w:rFonts w:asciiTheme="minorHAnsi" w:hAnsiTheme="minorHAnsi" w:cstheme="minorHAnsi"/>
          <w:sz w:val="22"/>
          <w:szCs w:val="22"/>
        </w:rPr>
        <w:t xml:space="preserve">zboží tvořícího Konsignační zásoby </w:t>
      </w:r>
      <w:r w:rsidR="00D27F4B" w:rsidRPr="009C2C9C">
        <w:rPr>
          <w:rFonts w:asciiTheme="minorHAnsi" w:hAnsiTheme="minorHAnsi" w:cstheme="minorHAnsi"/>
          <w:sz w:val="22"/>
          <w:szCs w:val="22"/>
        </w:rPr>
        <w:t xml:space="preserve">od </w:t>
      </w:r>
      <w:r w:rsidR="00AF5836"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77777777"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smlouvy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Poskytovatele potvrzováním písemných objednávek Koncových odběratelů vztahujícím se ke zboží, jež tvoří Konsignační zásoby. Na základě tohoto pověření je Poskytovatel oprávněn zastoupit Dodavatele při právních jednáních, jimiž dochází k potvrzení jednotlivých objednávek Koncových odběratelů</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Koncových odběratelů</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8D0729" w:rsidRPr="009C2C9C">
        <w:rPr>
          <w:rFonts w:asciiTheme="minorHAnsi" w:hAnsiTheme="minorHAnsi" w:cstheme="minorHAnsi"/>
          <w:sz w:val="22"/>
          <w:szCs w:val="22"/>
        </w:rPr>
        <w:t>Koncovým odběratelům</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Nevyplývá-li z této smlouvy nebo ze zákona něco jiného, Poskytovatel splní svou evidenční povinnost dle předchozí věty i tehdy, bude-li předmětnou dokumentaci evidovat a archivovat v elektronické podobě.</w:t>
      </w:r>
    </w:p>
    <w:p w14:paraId="79F7591B" w14:textId="77777777"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8D0729" w:rsidRPr="009C2C9C">
        <w:rPr>
          <w:rFonts w:asciiTheme="minorHAnsi" w:hAnsiTheme="minorHAnsi" w:cstheme="minorHAnsi"/>
          <w:sz w:val="22"/>
          <w:szCs w:val="22"/>
        </w:rPr>
        <w:t>Koncovým odběratelům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8D0729"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w:t>
      </w:r>
      <w:r w:rsidR="005F27E5" w:rsidRPr="009C2C9C">
        <w:rPr>
          <w:rFonts w:asciiTheme="minorHAnsi" w:hAnsiTheme="minorHAnsi" w:cstheme="minorHAnsi"/>
          <w:sz w:val="22"/>
          <w:szCs w:val="22"/>
        </w:rPr>
        <w:lastRenderedPageBreak/>
        <w:t>bude doručen Dodavateli v elektronické formě prostřednictvím elektronické pošty zaslané na kontaktní adresu uvedenou v hlavičce této smlouvy.</w:t>
      </w:r>
    </w:p>
    <w:p w14:paraId="21225C25" w14:textId="18AD35C8"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Koncovým odběratelům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77777777"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77777777"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budou řídit platnými a účinnými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 xml:space="preserve">eníky doručenými Poskytovateli v souladu s čl. II. odst. 4 této smlouvy. Potvrzením objednávky Koncového odběratele Poskytovatelem </w:t>
      </w:r>
      <w:r w:rsidR="003227A3" w:rsidRPr="00CC5396">
        <w:rPr>
          <w:rFonts w:asciiTheme="minorHAnsi" w:hAnsiTheme="minorHAnsi" w:cstheme="minorHAnsi"/>
          <w:sz w:val="22"/>
          <w:szCs w:val="22"/>
        </w:rPr>
        <w:t>(čl. V odst. 3) dochází k uzavření kupní smlouvy na objednané zboží mezi Dodavatelem a Koncovým odběratelem za podmínek dříve mezi nimi sjednaných.</w:t>
      </w:r>
    </w:p>
    <w:p w14:paraId="440FA891" w14:textId="77777777"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Pro vyloučení veškerých pochybností Smluvní strany sjednávají, že potvrzením objednávky ze strany Poskytovatele nedochází k uzavření žádné smlouvy (kupní či jiné obdobné) mezi Poskytovatelem a Koncovým odběratelem, a tudíž ani ke vzniku žádného smluvního závazku mezi nimi.</w:t>
      </w:r>
    </w:p>
    <w:p w14:paraId="27C2AA9A" w14:textId="77777777"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Dodavatel na základě doručeného přehledu o uskutečněných dodávkách zboží Koncovým odběratelům z Konsignačního skladu (čl. V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 příslušným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eníkem.</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77777777"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6FB435E5"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 xml:space="preserve">se skladováním, vedením a správou Konsignačních zásob v Konsignačním skladu v souladu s čl. II až VI. této smlouvy </w:t>
      </w:r>
      <w:r w:rsidR="00D06A1D" w:rsidRPr="00CC5396">
        <w:rPr>
          <w:rFonts w:asciiTheme="minorHAnsi" w:hAnsiTheme="minorHAnsi" w:cstheme="minorHAnsi"/>
          <w:sz w:val="22"/>
          <w:szCs w:val="22"/>
        </w:rPr>
        <w:t xml:space="preserve">odměna ve </w:t>
      </w:r>
      <w:r w:rsidR="00D06A1D" w:rsidRPr="00DC6A0F">
        <w:rPr>
          <w:rFonts w:asciiTheme="minorHAnsi" w:hAnsiTheme="minorHAnsi" w:cstheme="minorHAnsi"/>
          <w:sz w:val="22"/>
          <w:szCs w:val="22"/>
        </w:rPr>
        <w:t xml:space="preserve">výši </w:t>
      </w:r>
      <w:r w:rsidR="00495E0B">
        <w:rPr>
          <w:rFonts w:asciiTheme="minorHAnsi" w:hAnsiTheme="minorHAnsi" w:cstheme="minorHAnsi"/>
          <w:b/>
          <w:bCs/>
          <w:sz w:val="22"/>
          <w:szCs w:val="22"/>
        </w:rPr>
        <w:t>9,5</w:t>
      </w:r>
      <w:r w:rsidR="007E7A42" w:rsidRPr="00DC6A0F">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5 této smlouvy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77777777"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vždy k poslednímu dni daného měsíce a nejpozději do 15 dnů od vystavení doručí fakturu – daňový doklad Dodavateli. Splatnost uvedená na faktuře – daňovém dokladu bude činit 30 dní od data doručení faktury Dodavateli.</w:t>
      </w:r>
    </w:p>
    <w:p w14:paraId="141CFE74" w14:textId="77777777"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Fakturu dle předchozího odstavce vystaví Poskytovatel v elektronické podobě a doručí ji Dodavateli na elektronickou adresu uvedenou v hlavičce této smlouvy.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VIII.</w:t>
      </w:r>
    </w:p>
    <w:p w14:paraId="798A5ADC"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TRVÁNÍ SMLOUVY A JEJÍ ZÁNIK</w:t>
      </w:r>
    </w:p>
    <w:p w14:paraId="4BCCAA6C" w14:textId="77777777" w:rsidR="00D27F4B" w:rsidRPr="0031074C" w:rsidRDefault="00D27F4B" w:rsidP="00D27F4B">
      <w:pPr>
        <w:rPr>
          <w:rFonts w:asciiTheme="minorHAnsi" w:hAnsiTheme="minorHAnsi" w:cstheme="minorHAnsi"/>
          <w:b/>
          <w:sz w:val="22"/>
          <w:szCs w:val="22"/>
        </w:rPr>
      </w:pPr>
    </w:p>
    <w:p w14:paraId="05B2DEDC" w14:textId="7777777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D413FD" w:rsidRPr="0031074C">
        <w:rPr>
          <w:rFonts w:asciiTheme="minorHAnsi" w:hAnsiTheme="minorHAnsi" w:cstheme="minorHAnsi"/>
          <w:sz w:val="22"/>
          <w:szCs w:val="22"/>
        </w:rPr>
        <w:t xml:space="preserve">Smlouva </w:t>
      </w:r>
      <w:r w:rsidRPr="0031074C">
        <w:rPr>
          <w:rFonts w:asciiTheme="minorHAnsi" w:hAnsiTheme="minorHAnsi" w:cstheme="minorHAnsi"/>
          <w:sz w:val="22"/>
          <w:szCs w:val="22"/>
        </w:rPr>
        <w:t xml:space="preserve">se uzavírá na dobu </w:t>
      </w:r>
      <w:r w:rsidR="00D06A1D" w:rsidRPr="0031074C">
        <w:rPr>
          <w:rFonts w:asciiTheme="minorHAnsi" w:hAnsiTheme="minorHAnsi" w:cstheme="minorHAnsi"/>
          <w:sz w:val="22"/>
          <w:szCs w:val="22"/>
        </w:rPr>
        <w:t>ne</w:t>
      </w:r>
      <w:r w:rsidRPr="0031074C">
        <w:rPr>
          <w:rFonts w:asciiTheme="minorHAnsi" w:hAnsiTheme="minorHAnsi" w:cstheme="minorHAnsi"/>
          <w:sz w:val="22"/>
          <w:szCs w:val="22"/>
        </w:rPr>
        <w:t>určitou</w:t>
      </w:r>
      <w:r w:rsidR="00D413FD" w:rsidRPr="0031074C">
        <w:rPr>
          <w:rFonts w:asciiTheme="minorHAnsi" w:hAnsiTheme="minorHAnsi" w:cstheme="minorHAnsi"/>
          <w:sz w:val="22"/>
          <w:szCs w:val="22"/>
        </w:rPr>
        <w:t>.</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69ED38ED"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lastRenderedPageBreak/>
        <w:t xml:space="preserve">Tuto smlouvu může kterákoliv ze Smluvních stran vypovědět bez udání důvodu s výpovědní dobou tři měsíce. Výpovědní doba začíná běžet prvním dnem </w:t>
      </w:r>
      <w:r w:rsidR="005443B9" w:rsidRPr="0031074C">
        <w:rPr>
          <w:rFonts w:asciiTheme="minorHAnsi" w:hAnsiTheme="minorHAnsi" w:cstheme="minorHAnsi"/>
          <w:sz w:val="22"/>
          <w:szCs w:val="22"/>
        </w:rPr>
        <w:t xml:space="preserve">kalendářního </w:t>
      </w:r>
      <w:r w:rsidRPr="0031074C">
        <w:rPr>
          <w:rFonts w:asciiTheme="minorHAnsi" w:hAnsiTheme="minorHAnsi" w:cstheme="minorHAnsi"/>
          <w:sz w:val="22"/>
          <w:szCs w:val="22"/>
        </w:rPr>
        <w:t xml:space="preserve">měsíce následujícího po doručení písemné výpovědi druhé </w:t>
      </w:r>
      <w:r w:rsidR="00691BBE" w:rsidRPr="0031074C">
        <w:rPr>
          <w:rFonts w:asciiTheme="minorHAnsi" w:hAnsiTheme="minorHAnsi" w:cstheme="minorHAnsi"/>
          <w:sz w:val="22"/>
          <w:szCs w:val="22"/>
        </w:rPr>
        <w:t>S</w:t>
      </w:r>
      <w:r w:rsidRPr="0031074C">
        <w:rPr>
          <w:rFonts w:asciiTheme="minorHAnsi" w:hAnsiTheme="minorHAnsi" w:cstheme="minorHAnsi"/>
          <w:sz w:val="22"/>
          <w:szCs w:val="22"/>
        </w:rPr>
        <w:t>mluvní straně.</w:t>
      </w:r>
    </w:p>
    <w:p w14:paraId="4CADC080"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Poskytovatel je oprávněn od této smlouvy odstoupit, jestliže Dodavatel podstatným způsobem porušuje povinnosti pro něj z této smlouvy plynoucí, zejména:</w:t>
      </w:r>
    </w:p>
    <w:p w14:paraId="40BED7A0" w14:textId="77777777" w:rsidR="007A7321" w:rsidRPr="0031074C" w:rsidRDefault="007A7321" w:rsidP="007A7321">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nedodává zboží tvořící Konsignační zásoby v souladu s podmínkami sjednanými v této smlouvě, ač </w:t>
      </w:r>
      <w:r w:rsidR="001C1AE9" w:rsidRPr="0031074C">
        <w:rPr>
          <w:rFonts w:asciiTheme="minorHAnsi" w:hAnsiTheme="minorHAnsi" w:cstheme="minorHAnsi"/>
          <w:sz w:val="22"/>
          <w:szCs w:val="22"/>
        </w:rPr>
        <w:t>na to byl Poskytovatelem alespoň jednou písemně upozorněn a byl upozorněn na možnost odstoupení Poskytovatele od této smlouvy;</w:t>
      </w:r>
    </w:p>
    <w:p w14:paraId="7462E8E4" w14:textId="77777777" w:rsidR="007A7321" w:rsidRPr="0031074C" w:rsidRDefault="007A7321" w:rsidP="001C1AE9">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je-li </w:t>
      </w:r>
      <w:r w:rsidR="001C1AE9"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 prodlení se zaplacením odměny </w:t>
      </w:r>
      <w:r w:rsidR="001C1AE9" w:rsidRPr="0031074C">
        <w:rPr>
          <w:rFonts w:asciiTheme="minorHAnsi" w:hAnsiTheme="minorHAnsi" w:cstheme="minorHAnsi"/>
          <w:sz w:val="22"/>
          <w:szCs w:val="22"/>
        </w:rPr>
        <w:t>dle čl. VII této smlouvy delším než 30 dnů.</w:t>
      </w:r>
    </w:p>
    <w:p w14:paraId="118D75E2" w14:textId="77777777" w:rsidR="00D27F4B" w:rsidRPr="0031074C" w:rsidRDefault="007A7321" w:rsidP="001C1AE9">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Odstoupení od Smlouvy dle </w:t>
      </w:r>
      <w:r w:rsidR="001C1AE9" w:rsidRPr="0031074C">
        <w:rPr>
          <w:rFonts w:asciiTheme="minorHAnsi" w:hAnsiTheme="minorHAnsi" w:cstheme="minorHAnsi"/>
          <w:sz w:val="22"/>
          <w:szCs w:val="22"/>
        </w:rPr>
        <w:t>čl. VIII. odst. 4. této</w:t>
      </w:r>
      <w:r w:rsidRPr="0031074C">
        <w:rPr>
          <w:rFonts w:asciiTheme="minorHAnsi" w:hAnsiTheme="minorHAnsi" w:cstheme="minorHAnsi"/>
          <w:sz w:val="22"/>
          <w:szCs w:val="22"/>
        </w:rPr>
        <w:t xml:space="preserve"> </w:t>
      </w:r>
      <w:r w:rsidR="001C1AE9" w:rsidRPr="0031074C">
        <w:rPr>
          <w:rFonts w:asciiTheme="minorHAnsi" w:hAnsiTheme="minorHAnsi" w:cstheme="minorHAnsi"/>
          <w:sz w:val="22"/>
          <w:szCs w:val="22"/>
        </w:rPr>
        <w:t>s</w:t>
      </w:r>
      <w:r w:rsidRPr="0031074C">
        <w:rPr>
          <w:rFonts w:asciiTheme="minorHAnsi" w:hAnsiTheme="minorHAnsi" w:cstheme="minorHAnsi"/>
          <w:sz w:val="22"/>
          <w:szCs w:val="22"/>
        </w:rPr>
        <w:t>mlouvy musí být učiněno písemně a musí být doručeno druhé smluvní straně</w:t>
      </w:r>
      <w:r w:rsidR="001C1AE9" w:rsidRPr="0031074C">
        <w:rPr>
          <w:rFonts w:asciiTheme="minorHAnsi" w:hAnsiTheme="minorHAnsi" w:cstheme="minorHAnsi"/>
          <w:sz w:val="22"/>
          <w:szCs w:val="22"/>
        </w:rPr>
        <w:t>.</w:t>
      </w:r>
    </w:p>
    <w:p w14:paraId="7AF006BC" w14:textId="77777777" w:rsidR="001C1AE9" w:rsidRPr="0031074C" w:rsidRDefault="001C1AE9" w:rsidP="001C1AE9">
      <w:pPr>
        <w:numPr>
          <w:ilvl w:val="0"/>
          <w:numId w:val="4"/>
        </w:numPr>
        <w:jc w:val="both"/>
        <w:rPr>
          <w:rFonts w:asciiTheme="minorHAnsi" w:hAnsiTheme="minorHAnsi" w:cstheme="minorHAnsi"/>
          <w:sz w:val="22"/>
          <w:szCs w:val="22"/>
        </w:rPr>
      </w:pPr>
      <w:r w:rsidRPr="0031074C">
        <w:rPr>
          <w:rFonts w:asciiTheme="minorHAnsi" w:hAnsiTheme="minorHAnsi" w:cstheme="minorHAnsi"/>
          <w:sz w:val="22"/>
          <w:szCs w:val="22"/>
        </w:rPr>
        <w:t xml:space="preserve">Písemná forma výpovědi, resp. odstoupení od smlouvy dle tohoto článku je zachována i tehdy, jsou-li výpověď, resp. odstoupení od smlouvy vyhotoveny v elektronické podobě opatřené elektronickým podpisem, s nímž zákon spojuje účinky vlastnoručního podpisu, a doručeny na kontaktní elektronickou adresu příslušné Smluvní strany uvedenou v hlavičce této smlouvy. Výpověď, resp. odstoupení od smlouvy se považují za doručené </w:t>
      </w:r>
      <w:r w:rsidR="00691BBE" w:rsidRPr="0031074C">
        <w:rPr>
          <w:rFonts w:asciiTheme="minorHAnsi" w:hAnsiTheme="minorHAnsi" w:cstheme="minorHAnsi"/>
          <w:sz w:val="22"/>
          <w:szCs w:val="22"/>
        </w:rPr>
        <w:t xml:space="preserve">prvním </w:t>
      </w:r>
      <w:r w:rsidRPr="0031074C">
        <w:rPr>
          <w:rFonts w:asciiTheme="minorHAnsi" w:hAnsiTheme="minorHAnsi" w:cstheme="minorHAnsi"/>
          <w:sz w:val="22"/>
          <w:szCs w:val="22"/>
        </w:rPr>
        <w:t>pracovním dnem následujícím po dni, v němž byl</w:t>
      </w:r>
      <w:r w:rsidR="00691BBE" w:rsidRPr="0031074C">
        <w:rPr>
          <w:rFonts w:asciiTheme="minorHAnsi" w:hAnsiTheme="minorHAnsi" w:cstheme="minorHAnsi"/>
          <w:sz w:val="22"/>
          <w:szCs w:val="22"/>
        </w:rPr>
        <w:t>y</w:t>
      </w:r>
      <w:r w:rsidRPr="0031074C">
        <w:rPr>
          <w:rFonts w:asciiTheme="minorHAnsi" w:hAnsiTheme="minorHAnsi" w:cstheme="minorHAnsi"/>
          <w:sz w:val="22"/>
          <w:szCs w:val="22"/>
        </w:rPr>
        <w:t xml:space="preserve"> výpověď, resp. odstoupení od smlouvy odeslány druhé Smluvní straně.</w:t>
      </w:r>
    </w:p>
    <w:p w14:paraId="653F5DDE" w14:textId="77777777" w:rsidR="00080E5D" w:rsidRPr="0031074C" w:rsidRDefault="00080E5D" w:rsidP="00D27F4B">
      <w:pPr>
        <w:jc w:val="both"/>
        <w:rPr>
          <w:rFonts w:asciiTheme="minorHAnsi" w:hAnsiTheme="minorHAnsi" w:cstheme="minorHAnsi"/>
          <w:sz w:val="22"/>
          <w:szCs w:val="22"/>
        </w:rPr>
      </w:pPr>
    </w:p>
    <w:p w14:paraId="4B010C5A"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IX.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Žádná ze Smluvních stran neodpovídá druhé Smluvní straně za újmu způsobenou prodlením či nesplněním závazků z této smlouvy, bylo-li toto prodlení či nesplnění zapříčiněno z důvodu výskytu události vyšší moci.</w:t>
      </w:r>
    </w:p>
    <w:p w14:paraId="00BC8CCF"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Událostí vyšší moci se pro účely této smlouvy rozumí mimořádná, objektivně neodvratitelná okolnost, která nastala po uzavření smlouvy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může mít vliv na schopnost Smluvní strany řádně splnit závazky budou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Bude-li dodržen postup dle předchozího bodu, považuje se událost vyšší moci za podstatnou změnu okolností. Druhá Smluvní Strana se v takovém případě zavazuje vstoupit v nová jednání o smlouvě a souhlasit s prodloužením termínu plnění smlouvy po odpadnutí události vyšší moci, a to nejdéle o dobu jejího trvání.</w:t>
      </w:r>
    </w:p>
    <w:p w14:paraId="5388F13C"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Nelze-li prodloužení termínu plnění po druhé ze Smluvních stran spravedlivě požadovat, má druhá strana právo od Smlouvy odstoupit. Plnění poskytnutá mezi Smluvními stranami před odstoupením od smlouvy se nevrací.</w:t>
      </w:r>
    </w:p>
    <w:p w14:paraId="479B5E7E" w14:textId="77777777"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77777777"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116ECF" w:rsidRPr="0031074C">
        <w:rPr>
          <w:rFonts w:asciiTheme="minorHAnsi" w:hAnsiTheme="minorHAnsi" w:cstheme="minorHAnsi"/>
        </w:rPr>
        <w:t>7</w:t>
      </w:r>
      <w:r w:rsidRPr="0031074C">
        <w:rPr>
          <w:rFonts w:asciiTheme="minorHAnsi" w:hAnsiTheme="minorHAnsi" w:cstheme="minorHAnsi"/>
        </w:rPr>
        <w:t xml:space="preserve"> nebo v čl. III. odst. 1 této smlouvy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lastRenderedPageBreak/>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77777777"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t>DORUČOVÁNÍ</w:t>
      </w:r>
    </w:p>
    <w:p w14:paraId="0F385816" w14:textId="77777777"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Není-li výše v této smlouvě stanoveno jinak, j</w:t>
      </w:r>
      <w:r w:rsidR="00D27F4B" w:rsidRPr="0031074C">
        <w:rPr>
          <w:rFonts w:asciiTheme="minorHAnsi" w:hAnsiTheme="minorHAnsi" w:cstheme="minorHAnsi"/>
        </w:rPr>
        <w:t xml:space="preserve">akékoli oznámení nebo jiné sdělení, které má být doručeno podle této </w:t>
      </w:r>
      <w:r w:rsidR="001C1AE9" w:rsidRPr="0031074C">
        <w:rPr>
          <w:rFonts w:asciiTheme="minorHAnsi" w:hAnsiTheme="minorHAnsi" w:cstheme="minorHAnsi"/>
        </w:rPr>
        <w:t>smlouvy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733BC830" w14:textId="77777777" w:rsidR="00417B93"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w:t>
      </w:r>
    </w:p>
    <w:p w14:paraId="577BBBE4" w14:textId="77777777"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 NemLog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77777777"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417B93"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FC52C2" w:rsidRPr="0031074C">
        <w:rPr>
          <w:rFonts w:asciiTheme="minorHAnsi" w:hAnsiTheme="minorHAnsi" w:cstheme="minorHAnsi"/>
          <w:sz w:val="22"/>
          <w:szCs w:val="22"/>
        </w:rPr>
        <w:t>s</w:t>
      </w:r>
      <w:r w:rsidRPr="0031074C">
        <w:rPr>
          <w:rFonts w:asciiTheme="minorHAnsi" w:hAnsiTheme="minorHAnsi" w:cstheme="minorHAnsi"/>
          <w:sz w:val="22"/>
          <w:szCs w:val="22"/>
        </w:rPr>
        <w:t xml:space="preserve">mlouvy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77777777"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smlouvu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7777777"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FC52C2" w:rsidRPr="0031074C">
        <w:rPr>
          <w:rFonts w:asciiTheme="minorHAnsi" w:hAnsiTheme="minorHAnsi" w:cstheme="minorHAnsi"/>
          <w:sz w:val="22"/>
          <w:szCs w:val="22"/>
        </w:rPr>
        <w:t>smlouvou</w:t>
      </w:r>
      <w:r w:rsidRPr="0031074C">
        <w:rPr>
          <w:rFonts w:asciiTheme="minorHAnsi" w:hAnsiTheme="minorHAnsi" w:cstheme="minorHAnsi"/>
          <w:sz w:val="22"/>
          <w:szCs w:val="22"/>
        </w:rPr>
        <w:t xml:space="preserve"> (včetně otázek týkajících se její platnosti, účinnosti a výkladu), budou předloženy k rozhodnutí </w:t>
      </w:r>
      <w:r w:rsidRPr="0031074C">
        <w:rPr>
          <w:rFonts w:asciiTheme="minorHAnsi" w:hAnsiTheme="minorHAnsi" w:cstheme="minorHAnsi"/>
          <w:sz w:val="22"/>
          <w:szCs w:val="22"/>
        </w:rPr>
        <w:lastRenderedPageBreak/>
        <w:t>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smlouvou upraveny) </w:t>
      </w:r>
      <w:r w:rsidRPr="0031074C">
        <w:rPr>
          <w:rFonts w:asciiTheme="minorHAnsi" w:hAnsiTheme="minorHAnsi" w:cstheme="minorHAnsi"/>
          <w:sz w:val="22"/>
          <w:szCs w:val="22"/>
        </w:rPr>
        <w:t xml:space="preserve">se řídí právním řádem České republiky. </w:t>
      </w:r>
    </w:p>
    <w:p w14:paraId="77C2E423"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Nedílnou součást této smlouvy tvoří tyto přílohy:</w:t>
      </w:r>
    </w:p>
    <w:p w14:paraId="0AB70DC0" w14:textId="77777777" w:rsidR="00FC52C2" w:rsidRPr="0031074C" w:rsidRDefault="00FC52C2" w:rsidP="00FC52C2">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2B973C1E" w14:textId="77777777" w:rsidR="00FC52C2" w:rsidRPr="0031074C" w:rsidRDefault="00FC52C2" w:rsidP="00FC52C2">
      <w:pPr>
        <w:numPr>
          <w:ilvl w:val="1"/>
          <w:numId w:val="7"/>
        </w:numPr>
        <w:spacing w:after="120"/>
        <w:ind w:left="1434" w:hanging="357"/>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2: </w:t>
      </w:r>
      <w:r w:rsidRPr="002E49ED">
        <w:rPr>
          <w:rFonts w:asciiTheme="minorHAnsi" w:hAnsiTheme="minorHAnsi" w:cstheme="minorHAnsi"/>
          <w:sz w:val="22"/>
          <w:szCs w:val="22"/>
        </w:rPr>
        <w:t>Seznam Koncových odběratelů</w:t>
      </w:r>
    </w:p>
    <w:p w14:paraId="63EA1BAB"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Smlouva nabývá platnosti okamžikem jejího podpisu oběma Smluvními stranami, a účinnosti od téhož dne, nebo </w:t>
      </w:r>
      <w:r w:rsidR="00567FBB" w:rsidRPr="0031074C">
        <w:rPr>
          <w:rFonts w:asciiTheme="minorHAnsi" w:hAnsiTheme="minorHAnsi" w:cstheme="minorHAnsi"/>
          <w:sz w:val="22"/>
          <w:szCs w:val="22"/>
        </w:rPr>
        <w:t>ode d</w:t>
      </w:r>
      <w:r w:rsidRPr="0031074C">
        <w:rPr>
          <w:rFonts w:asciiTheme="minorHAnsi" w:hAnsiTheme="minorHAnsi" w:cstheme="minorHAnsi"/>
          <w:sz w:val="22"/>
          <w:szCs w:val="22"/>
        </w:rPr>
        <w:t>ne uveřejnění v registru smluv, pokud se jedná o smlouvu, na niž se vztahuje povinnost uveřejnění prostřednictvím registru smluv dle zákona o registru smluv.</w:t>
      </w:r>
    </w:p>
    <w:p w14:paraId="273467FB" w14:textId="77777777" w:rsidR="00D27F4B" w:rsidRPr="0031074C" w:rsidRDefault="00D27F4B" w:rsidP="00D27F4B">
      <w:pPr>
        <w:numPr>
          <w:ilvl w:val="0"/>
          <w:numId w:val="7"/>
        </w:numPr>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shd w:val="clear" w:color="auto" w:fill="auto"/>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735E8C59"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V </w:t>
            </w:r>
            <w:r w:rsidRPr="00D0242E">
              <w:rPr>
                <w:rFonts w:asciiTheme="minorHAnsi" w:hAnsiTheme="minorHAnsi" w:cstheme="minorHAnsi"/>
                <w:sz w:val="22"/>
                <w:szCs w:val="22"/>
                <w:highlight w:val="yellow"/>
              </w:rPr>
              <w:t>____________</w:t>
            </w:r>
            <w:r w:rsidRPr="0031074C">
              <w:rPr>
                <w:rFonts w:asciiTheme="minorHAnsi" w:hAnsiTheme="minorHAnsi" w:cstheme="minorHAnsi"/>
                <w:sz w:val="22"/>
                <w:szCs w:val="22"/>
              </w:rPr>
              <w:t xml:space="preserve"> dne </w:t>
            </w:r>
            <w:r w:rsidRPr="00D0242E">
              <w:rPr>
                <w:rFonts w:asciiTheme="minorHAnsi" w:hAnsiTheme="minorHAnsi" w:cstheme="minorHAnsi"/>
                <w:sz w:val="22"/>
                <w:szCs w:val="22"/>
                <w:highlight w:val="yellow"/>
              </w:rPr>
              <w:t>_____________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032268DB" w14:textId="77777777" w:rsidR="008F2DC4"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JMÉNO: </w:t>
            </w:r>
            <w:r w:rsidR="00567FBB" w:rsidRPr="00D0242E">
              <w:rPr>
                <w:rFonts w:asciiTheme="minorHAnsi" w:hAnsiTheme="minorHAnsi" w:cstheme="minorHAnsi"/>
                <w:sz w:val="22"/>
                <w:szCs w:val="22"/>
                <w:highlight w:val="yellow"/>
              </w:rPr>
              <w:t>__________</w:t>
            </w:r>
          </w:p>
          <w:p w14:paraId="5A1D5713"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POZICE: </w:t>
            </w:r>
            <w:r w:rsidRPr="00D0242E">
              <w:rPr>
                <w:rFonts w:asciiTheme="minorHAnsi" w:hAnsiTheme="minorHAnsi" w:cstheme="minorHAnsi"/>
                <w:sz w:val="22"/>
                <w:szCs w:val="22"/>
                <w:highlight w:val="yellow"/>
              </w:rPr>
              <w:t>jednatel</w:t>
            </w:r>
          </w:p>
          <w:p w14:paraId="32A2529D" w14:textId="77777777" w:rsidR="00D27F4B" w:rsidRPr="0031074C" w:rsidRDefault="00D27F4B" w:rsidP="00D27F4B">
            <w:pPr>
              <w:rPr>
                <w:rFonts w:asciiTheme="minorHAnsi" w:hAnsiTheme="minorHAnsi" w:cstheme="minorHAnsi"/>
                <w:sz w:val="22"/>
                <w:szCs w:val="22"/>
              </w:rPr>
            </w:pPr>
          </w:p>
        </w:tc>
        <w:tc>
          <w:tcPr>
            <w:tcW w:w="4606" w:type="dxa"/>
            <w:shd w:val="clear" w:color="auto" w:fill="auto"/>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D0242E">
              <w:rPr>
                <w:rFonts w:asciiTheme="minorHAnsi" w:hAnsiTheme="minorHAnsi" w:cstheme="minorHAnsi"/>
                <w:sz w:val="22"/>
                <w:szCs w:val="22"/>
                <w:highlight w:val="yellow"/>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JMÉNO: Milan Zápotocký</w:t>
            </w:r>
          </w:p>
          <w:p w14:paraId="20705745"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POZICE: předseda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Pr="002E49ED" w:rsidRDefault="00994D93" w:rsidP="00567FBB">
      <w:pPr>
        <w:rPr>
          <w:rFonts w:asciiTheme="minorHAnsi" w:hAnsiTheme="minorHAnsi" w:cstheme="minorHAnsi"/>
        </w:rPr>
      </w:pPr>
    </w:p>
    <w:sectPr w:rsidR="00994D93" w:rsidRPr="002E49ED" w:rsidSect="00E06D0F">
      <w:footerReference w:type="default" r:id="rId8"/>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C0D3" w14:textId="77777777" w:rsidR="001A0C6F" w:rsidRDefault="001A0C6F" w:rsidP="00567FBB">
      <w:r>
        <w:separator/>
      </w:r>
    </w:p>
  </w:endnote>
  <w:endnote w:type="continuationSeparator" w:id="0">
    <w:p w14:paraId="738B4561" w14:textId="77777777" w:rsidR="001A0C6F" w:rsidRDefault="001A0C6F"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B02B" w14:textId="3F2F6732" w:rsidR="00567FBB" w:rsidRDefault="00567FBB">
    <w:pPr>
      <w:pStyle w:val="Zpat"/>
      <w:jc w:val="center"/>
    </w:pPr>
    <w:r>
      <w:fldChar w:fldCharType="begin"/>
    </w:r>
    <w:r>
      <w:instrText>PAGE   \* MERGEFORMAT</w:instrText>
    </w:r>
    <w:r>
      <w:fldChar w:fldCharType="separate"/>
    </w:r>
    <w:r w:rsidR="00DC6A0F">
      <w:rPr>
        <w:noProof/>
      </w:rPr>
      <w:t>9</w:t>
    </w:r>
    <w: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C3EC" w14:textId="77777777" w:rsidR="001A0C6F" w:rsidRDefault="001A0C6F" w:rsidP="00567FBB">
      <w:r>
        <w:separator/>
      </w:r>
    </w:p>
  </w:footnote>
  <w:footnote w:type="continuationSeparator" w:id="0">
    <w:p w14:paraId="629AA987" w14:textId="77777777" w:rsidR="001A0C6F" w:rsidRDefault="001A0C6F" w:rsidP="0056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37A6E"/>
    <w:multiLevelType w:val="hybridMultilevel"/>
    <w:tmpl w:val="8F16C1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23949857">
    <w:abstractNumId w:val="2"/>
  </w:num>
  <w:num w:numId="2" w16cid:durableId="231548099">
    <w:abstractNumId w:val="8"/>
  </w:num>
  <w:num w:numId="3" w16cid:durableId="110442458">
    <w:abstractNumId w:val="7"/>
  </w:num>
  <w:num w:numId="4" w16cid:durableId="1262377165">
    <w:abstractNumId w:val="13"/>
  </w:num>
  <w:num w:numId="5" w16cid:durableId="2010517492">
    <w:abstractNumId w:val="10"/>
  </w:num>
  <w:num w:numId="6" w16cid:durableId="1191605553">
    <w:abstractNumId w:val="5"/>
  </w:num>
  <w:num w:numId="7" w16cid:durableId="1640918626">
    <w:abstractNumId w:val="6"/>
  </w:num>
  <w:num w:numId="8" w16cid:durableId="561447250">
    <w:abstractNumId w:val="12"/>
  </w:num>
  <w:num w:numId="9" w16cid:durableId="1849295380">
    <w:abstractNumId w:val="14"/>
  </w:num>
  <w:num w:numId="10" w16cid:durableId="725956072">
    <w:abstractNumId w:val="9"/>
  </w:num>
  <w:num w:numId="11" w16cid:durableId="1467360335">
    <w:abstractNumId w:val="0"/>
  </w:num>
  <w:num w:numId="12" w16cid:durableId="985166947">
    <w:abstractNumId w:val="4"/>
  </w:num>
  <w:num w:numId="13" w16cid:durableId="426581957">
    <w:abstractNumId w:val="1"/>
  </w:num>
  <w:num w:numId="14" w16cid:durableId="1548761597">
    <w:abstractNumId w:val="3"/>
  </w:num>
  <w:num w:numId="15" w16cid:durableId="1784424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B"/>
    <w:rsid w:val="00002732"/>
    <w:rsid w:val="00004D52"/>
    <w:rsid w:val="000056C3"/>
    <w:rsid w:val="00007184"/>
    <w:rsid w:val="00012396"/>
    <w:rsid w:val="00012EBA"/>
    <w:rsid w:val="00013254"/>
    <w:rsid w:val="00025ECC"/>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662D"/>
    <w:rsid w:val="00087405"/>
    <w:rsid w:val="00087B8D"/>
    <w:rsid w:val="0009058E"/>
    <w:rsid w:val="00092502"/>
    <w:rsid w:val="00095765"/>
    <w:rsid w:val="00095F46"/>
    <w:rsid w:val="00097671"/>
    <w:rsid w:val="000A2B0E"/>
    <w:rsid w:val="000A3965"/>
    <w:rsid w:val="000A5411"/>
    <w:rsid w:val="000A75A0"/>
    <w:rsid w:val="000A7E72"/>
    <w:rsid w:val="000B0CA6"/>
    <w:rsid w:val="000B166D"/>
    <w:rsid w:val="000B1676"/>
    <w:rsid w:val="000B16BA"/>
    <w:rsid w:val="000B1B18"/>
    <w:rsid w:val="000B1D15"/>
    <w:rsid w:val="000B477B"/>
    <w:rsid w:val="000B582A"/>
    <w:rsid w:val="000B79DE"/>
    <w:rsid w:val="000C5DD1"/>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ECF"/>
    <w:rsid w:val="0011765A"/>
    <w:rsid w:val="0012198B"/>
    <w:rsid w:val="00122630"/>
    <w:rsid w:val="001260BB"/>
    <w:rsid w:val="001266F8"/>
    <w:rsid w:val="00126F12"/>
    <w:rsid w:val="00127E9E"/>
    <w:rsid w:val="00127FE3"/>
    <w:rsid w:val="00134791"/>
    <w:rsid w:val="001369A4"/>
    <w:rsid w:val="00140F8B"/>
    <w:rsid w:val="00143270"/>
    <w:rsid w:val="00152AD6"/>
    <w:rsid w:val="00154A71"/>
    <w:rsid w:val="00155613"/>
    <w:rsid w:val="00160383"/>
    <w:rsid w:val="00170F05"/>
    <w:rsid w:val="00171095"/>
    <w:rsid w:val="00176CEF"/>
    <w:rsid w:val="001806FF"/>
    <w:rsid w:val="001835A8"/>
    <w:rsid w:val="0018382F"/>
    <w:rsid w:val="00183DEB"/>
    <w:rsid w:val="0018759C"/>
    <w:rsid w:val="00192776"/>
    <w:rsid w:val="00195D9E"/>
    <w:rsid w:val="0019612F"/>
    <w:rsid w:val="0019747E"/>
    <w:rsid w:val="001A0C6F"/>
    <w:rsid w:val="001A6D77"/>
    <w:rsid w:val="001B273F"/>
    <w:rsid w:val="001B418A"/>
    <w:rsid w:val="001B5941"/>
    <w:rsid w:val="001B6241"/>
    <w:rsid w:val="001B7B5B"/>
    <w:rsid w:val="001C1AE9"/>
    <w:rsid w:val="001C204D"/>
    <w:rsid w:val="001C3A6A"/>
    <w:rsid w:val="001C5EA7"/>
    <w:rsid w:val="001C7ECB"/>
    <w:rsid w:val="001D0E13"/>
    <w:rsid w:val="001D108F"/>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3E35"/>
    <w:rsid w:val="0029763A"/>
    <w:rsid w:val="002A41C6"/>
    <w:rsid w:val="002B03FB"/>
    <w:rsid w:val="002B15E1"/>
    <w:rsid w:val="002B3781"/>
    <w:rsid w:val="002B4BD5"/>
    <w:rsid w:val="002B4CFF"/>
    <w:rsid w:val="002C0033"/>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85B15"/>
    <w:rsid w:val="00390871"/>
    <w:rsid w:val="00395427"/>
    <w:rsid w:val="00396F36"/>
    <w:rsid w:val="003A476F"/>
    <w:rsid w:val="003A572B"/>
    <w:rsid w:val="003A6AF7"/>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5E0B"/>
    <w:rsid w:val="0049725C"/>
    <w:rsid w:val="0049770B"/>
    <w:rsid w:val="004A19CF"/>
    <w:rsid w:val="004A79FF"/>
    <w:rsid w:val="004B0DB5"/>
    <w:rsid w:val="004B2D8D"/>
    <w:rsid w:val="004B378E"/>
    <w:rsid w:val="004B3F3A"/>
    <w:rsid w:val="004B4D28"/>
    <w:rsid w:val="004C305D"/>
    <w:rsid w:val="004C6E16"/>
    <w:rsid w:val="004D0E1D"/>
    <w:rsid w:val="004D1DB2"/>
    <w:rsid w:val="004D7AE3"/>
    <w:rsid w:val="004E05DF"/>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21BD"/>
    <w:rsid w:val="005C65ED"/>
    <w:rsid w:val="005D0B6B"/>
    <w:rsid w:val="005D33B4"/>
    <w:rsid w:val="005D5436"/>
    <w:rsid w:val="005E478F"/>
    <w:rsid w:val="005E5AE4"/>
    <w:rsid w:val="005E726C"/>
    <w:rsid w:val="005E76C0"/>
    <w:rsid w:val="005E7FA7"/>
    <w:rsid w:val="005F27E5"/>
    <w:rsid w:val="005F3E53"/>
    <w:rsid w:val="005F454F"/>
    <w:rsid w:val="0060113D"/>
    <w:rsid w:val="00602078"/>
    <w:rsid w:val="00610753"/>
    <w:rsid w:val="00612F1C"/>
    <w:rsid w:val="00620ED1"/>
    <w:rsid w:val="00622C80"/>
    <w:rsid w:val="006239A8"/>
    <w:rsid w:val="00626473"/>
    <w:rsid w:val="0062725E"/>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DF5"/>
    <w:rsid w:val="0075031E"/>
    <w:rsid w:val="00751B49"/>
    <w:rsid w:val="00753BAC"/>
    <w:rsid w:val="00757375"/>
    <w:rsid w:val="007624BF"/>
    <w:rsid w:val="007624D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72BB"/>
    <w:rsid w:val="007E135A"/>
    <w:rsid w:val="007E2AB1"/>
    <w:rsid w:val="007E2B59"/>
    <w:rsid w:val="007E408A"/>
    <w:rsid w:val="007E5AC9"/>
    <w:rsid w:val="007E75ED"/>
    <w:rsid w:val="007E7A42"/>
    <w:rsid w:val="007F173B"/>
    <w:rsid w:val="007F3438"/>
    <w:rsid w:val="007F4BC8"/>
    <w:rsid w:val="007F58DB"/>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6E1B"/>
    <w:rsid w:val="00955AFD"/>
    <w:rsid w:val="00956B00"/>
    <w:rsid w:val="00957694"/>
    <w:rsid w:val="00957F6E"/>
    <w:rsid w:val="00960140"/>
    <w:rsid w:val="00961330"/>
    <w:rsid w:val="00970813"/>
    <w:rsid w:val="009727FA"/>
    <w:rsid w:val="0097308D"/>
    <w:rsid w:val="0098025A"/>
    <w:rsid w:val="00981342"/>
    <w:rsid w:val="00983D6B"/>
    <w:rsid w:val="00986049"/>
    <w:rsid w:val="0098770C"/>
    <w:rsid w:val="00993E21"/>
    <w:rsid w:val="00994D93"/>
    <w:rsid w:val="009A20E5"/>
    <w:rsid w:val="009A39A5"/>
    <w:rsid w:val="009A4834"/>
    <w:rsid w:val="009A498B"/>
    <w:rsid w:val="009A5547"/>
    <w:rsid w:val="009A56AA"/>
    <w:rsid w:val="009A5F87"/>
    <w:rsid w:val="009A6478"/>
    <w:rsid w:val="009B01BE"/>
    <w:rsid w:val="009B1493"/>
    <w:rsid w:val="009C2C9C"/>
    <w:rsid w:val="009D0FDC"/>
    <w:rsid w:val="009D18A1"/>
    <w:rsid w:val="009D3C39"/>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55FA"/>
    <w:rsid w:val="00A21351"/>
    <w:rsid w:val="00A2268C"/>
    <w:rsid w:val="00A25F68"/>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DD6"/>
    <w:rsid w:val="00AF36BA"/>
    <w:rsid w:val="00AF5836"/>
    <w:rsid w:val="00B02331"/>
    <w:rsid w:val="00B13EAD"/>
    <w:rsid w:val="00B1709E"/>
    <w:rsid w:val="00B20ABD"/>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5A1"/>
    <w:rsid w:val="00BC12B9"/>
    <w:rsid w:val="00BC337A"/>
    <w:rsid w:val="00BC53C9"/>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469F"/>
    <w:rsid w:val="00C14940"/>
    <w:rsid w:val="00C152E1"/>
    <w:rsid w:val="00C16426"/>
    <w:rsid w:val="00C21FF3"/>
    <w:rsid w:val="00C30168"/>
    <w:rsid w:val="00C312F3"/>
    <w:rsid w:val="00C349A9"/>
    <w:rsid w:val="00C34AAD"/>
    <w:rsid w:val="00C41020"/>
    <w:rsid w:val="00C44A5B"/>
    <w:rsid w:val="00C51446"/>
    <w:rsid w:val="00C51E04"/>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A0F"/>
    <w:rsid w:val="00DC6C1F"/>
    <w:rsid w:val="00DC75A5"/>
    <w:rsid w:val="00DC7A0B"/>
    <w:rsid w:val="00DD3590"/>
    <w:rsid w:val="00DD780A"/>
    <w:rsid w:val="00DD7D03"/>
    <w:rsid w:val="00DE12DC"/>
    <w:rsid w:val="00DE1F9C"/>
    <w:rsid w:val="00DE6B45"/>
    <w:rsid w:val="00DF11E1"/>
    <w:rsid w:val="00DF351F"/>
    <w:rsid w:val="00DF4578"/>
    <w:rsid w:val="00DF4E91"/>
    <w:rsid w:val="00DF7556"/>
    <w:rsid w:val="00E00BF9"/>
    <w:rsid w:val="00E040F7"/>
    <w:rsid w:val="00E06329"/>
    <w:rsid w:val="00E06D0F"/>
    <w:rsid w:val="00E10C2F"/>
    <w:rsid w:val="00E12B4A"/>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7F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AEA6-46F2-4CD9-AE7A-A6EE05A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3924</Words>
  <Characters>24177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Petra KREISINGEROVÁ</cp:lastModifiedBy>
  <cp:revision>4</cp:revision>
  <cp:lastPrinted>2009-10-21T13:04:00Z</cp:lastPrinted>
  <dcterms:created xsi:type="dcterms:W3CDTF">2021-07-01T12:35:00Z</dcterms:created>
  <dcterms:modified xsi:type="dcterms:W3CDTF">2023-10-12T12:03:00Z</dcterms:modified>
</cp:coreProperties>
</file>