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635/1b,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635/1b,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2B62A6A6" w14:textId="77777777" w:rsidR="002A09B5" w:rsidRPr="002A09B5" w:rsidRDefault="00F065A7" w:rsidP="002A09B5">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5B70512E" w14:textId="50CFADCC" w:rsidR="0017062E" w:rsidRPr="002A09B5" w:rsidRDefault="0017062E" w:rsidP="002A09B5">
      <w:pPr>
        <w:pStyle w:val="Odstavecseseznamem"/>
        <w:numPr>
          <w:ilvl w:val="1"/>
          <w:numId w:val="10"/>
        </w:numPr>
        <w:spacing w:before="60"/>
        <w:ind w:left="567" w:hanging="567"/>
        <w:jc w:val="both"/>
        <w:rPr>
          <w:rFonts w:asciiTheme="minorHAnsi" w:hAnsiTheme="minorHAnsi" w:cstheme="minorHAnsi"/>
          <w:bCs/>
          <w:sz w:val="22"/>
          <w:szCs w:val="22"/>
        </w:rPr>
      </w:pPr>
      <w:r w:rsidRPr="002A09B5">
        <w:rPr>
          <w:rFonts w:asciiTheme="minorHAnsi" w:hAnsiTheme="minorHAnsi" w:cs="Arial"/>
          <w:b/>
          <w:bCs/>
          <w:sz w:val="22"/>
          <w:szCs w:val="22"/>
        </w:rPr>
        <w:t>Doklady k dílu</w:t>
      </w:r>
      <w:r w:rsidRPr="002A09B5">
        <w:rPr>
          <w:rFonts w:asciiTheme="minorHAnsi" w:hAnsiTheme="minorHAnsi" w:cstheme="minorHAnsi"/>
          <w:bCs/>
          <w:sz w:val="22"/>
          <w:szCs w:val="22"/>
        </w:rPr>
        <w:t xml:space="preserve">. </w:t>
      </w:r>
      <w:r w:rsidRPr="002A09B5">
        <w:rPr>
          <w:rFonts w:asciiTheme="minorHAnsi" w:hAnsiTheme="minorHAnsi" w:cs="Arial"/>
          <w:sz w:val="22"/>
          <w:szCs w:val="22"/>
        </w:rPr>
        <w:t xml:space="preserve">Zhotovitel je povinen předat Objednateli nejpozději s předáním Díla doklady vztahující se k Dílu dle specifikace sjednané v Dílčí smlouvě, a to pouze pokud má tyto doklady k dispozici, a to zejména prohlášení o shodě dle zákona č. 90/2016 Sb., o posuzování shody stanovených výrobků při jejich dodávání na trh, ve znění pozdějších předpisů, a k němu prováděcích právních předpisů, dokument kontroly 3.2 v souladu s předpisem ČD V6/1 (KD 3.1 Osvědčení kvality produktu K1).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2A09B5">
        <w:rPr>
          <w:rFonts w:asciiTheme="minorHAnsi" w:hAnsiTheme="minorHAnsi" w:cs="Arial"/>
          <w:iCs/>
          <w:sz w:val="22"/>
          <w:szCs w:val="22"/>
        </w:rPr>
        <w:t xml:space="preserve">o technických požadavcích na výrobky a o změně a doplnění některých zákonů, ve znění pozdějších předpisů, pokud ho má k dispozici. Výrobky použité pro provedení Díla musí rovněž odpovídat technickým a funkčním požadavkům vyplývajících z prováděcích předpisů vydaných podle ustanovení § 22 </w:t>
      </w:r>
      <w:r w:rsidRPr="002A09B5">
        <w:rPr>
          <w:rFonts w:asciiTheme="minorHAnsi" w:hAnsiTheme="minorHAnsi" w:cs="Arial"/>
          <w:sz w:val="22"/>
          <w:szCs w:val="22"/>
        </w:rPr>
        <w:t xml:space="preserve">zákona č. 22/1997 Sb., </w:t>
      </w:r>
      <w:r w:rsidRPr="002A09B5">
        <w:rPr>
          <w:rFonts w:asciiTheme="minorHAnsi" w:hAnsiTheme="minorHAnsi" w:cs="Arial"/>
          <w:iCs/>
          <w:sz w:val="22"/>
          <w:szCs w:val="22"/>
        </w:rPr>
        <w:t>o technických požadavcích na výrobky a o změně a doplnění některých zákonů, ve znění pozdějších předpisů. Dále je Zhotovitel povinen</w:t>
      </w:r>
      <w:r w:rsidRPr="002A09B5">
        <w:rPr>
          <w:rFonts w:asciiTheme="minorHAnsi" w:hAnsiTheme="minorHAnsi" w:cs="Arial"/>
          <w:sz w:val="22"/>
          <w:szCs w:val="22"/>
        </w:rPr>
        <w:t xml:space="preserve"> dodat veškeré doklady potřebné k převzetí, užívání a skladování Díla, které má k dispozici. Nedodání dokladů dle tohoto odstavce, případně dodání dokladů s vadami, se považuje za vadné plnění.</w:t>
      </w: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r w:rsidR="00A07C6F" w:rsidRPr="00F065A7">
        <w:rPr>
          <w:rFonts w:asciiTheme="minorHAnsi" w:hAnsiTheme="minorHAnsi"/>
          <w:sz w:val="22"/>
          <w:szCs w:val="22"/>
        </w:rPr>
        <w:t>10</w:t>
      </w:r>
      <w:r w:rsidR="00431FAC" w:rsidRPr="00F065A7">
        <w:rPr>
          <w:rFonts w:asciiTheme="minorHAnsi" w:hAnsiTheme="minorHAnsi"/>
          <w:sz w:val="22"/>
          <w:szCs w:val="22"/>
        </w:rPr>
        <w:t xml:space="preserve">.000.000,-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109 a 109a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w:t>
      </w:r>
      <w:r w:rsidR="00170F1D" w:rsidRPr="002A09B5">
        <w:rPr>
          <w:rFonts w:asciiTheme="minorHAnsi" w:hAnsiTheme="minorHAnsi" w:cstheme="minorHAnsi"/>
          <w:b/>
          <w:bCs/>
          <w:sz w:val="22"/>
          <w:szCs w:val="22"/>
        </w:rPr>
        <w:t>zástavního práva výhradně na základě písemné dohody obou Smluvních stran, jinak je zřízení</w:t>
      </w:r>
      <w:r w:rsidR="00170F1D" w:rsidRPr="00F065A7">
        <w:rPr>
          <w:rFonts w:ascii="Calibri" w:hAnsi="Calibri"/>
          <w:sz w:val="22"/>
          <w:szCs w:val="22"/>
        </w:rPr>
        <w:t xml:space="preserve"> zástavního práva neplatné.</w:t>
      </w:r>
    </w:p>
    <w:p w14:paraId="05E31DC4" w14:textId="1D354DF9" w:rsidR="000532E8" w:rsidRPr="000532E8" w:rsidRDefault="005B0370" w:rsidP="000532E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 xml:space="preserve">Každá ze Smluvních stran bude v roli správce zpracovávat osobní údaje fyzických osob </w:t>
      </w:r>
      <w:r w:rsidRPr="002A09B5">
        <w:rPr>
          <w:rFonts w:asciiTheme="minorHAnsi" w:hAnsiTheme="minorHAnsi" w:cstheme="minorHAnsi"/>
          <w:b/>
          <w:bCs/>
          <w:sz w:val="22"/>
          <w:szCs w:val="22"/>
        </w:rPr>
        <w:t>vystupujících</w:t>
      </w:r>
      <w:r w:rsidRPr="00D471E1">
        <w:rPr>
          <w:rFonts w:ascii="Calibri" w:hAnsi="Calibri"/>
          <w:sz w:val="22"/>
          <w:szCs w:val="22"/>
        </w:rPr>
        <w:t xml:space="preserve">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2A09B5">
        <w:rPr>
          <w:rFonts w:ascii="Calibri" w:hAnsi="Calibri"/>
          <w:sz w:val="22"/>
          <w:szCs w:val="22"/>
        </w:rPr>
        <w:t xml:space="preserve"> údajů o zpracování jejich osobních údajů druhou Smluvní stranou. Informace o zpracování osobních údajů ze strany Objednatele jsou dostupné na adrese</w:t>
      </w:r>
      <w:r w:rsidRPr="00D234F0">
        <w:rPr>
          <w:rFonts w:ascii="Calibri" w:eastAsiaTheme="minorHAnsi" w:hAnsi="Calibri" w:cs="Calibri"/>
          <w:color w:val="000000"/>
          <w:sz w:val="22"/>
          <w:szCs w:val="22"/>
          <w:lang w:eastAsia="en-US"/>
        </w:rPr>
        <w:t xml:space="preserve">: </w:t>
      </w:r>
      <w:hyperlink r:id="rId13" w:history="1">
        <w:r w:rsidR="000532E8" w:rsidRPr="0098453A">
          <w:rPr>
            <w:rStyle w:val="Hypertextovodkaz"/>
            <w:rFonts w:ascii="Calibri" w:eastAsiaTheme="minorHAnsi" w:hAnsi="Calibri" w:cs="Calibri"/>
            <w:sz w:val="22"/>
            <w:szCs w:val="22"/>
            <w:lang w:eastAsia="en-US"/>
          </w:rPr>
          <w:t>http://www.dpov.cz/wp-content/uploads/2021/08/Zasady-ochrany-osobnich-udaju.pdf</w:t>
        </w:r>
        <w:r w:rsidR="000532E8" w:rsidRPr="0098453A">
          <w:rPr>
            <w:rStyle w:val="Hypertextovodkaz"/>
            <w:rFonts w:eastAsiaTheme="minorHAnsi"/>
            <w:sz w:val="22"/>
            <w:szCs w:val="22"/>
          </w:rPr>
          <w:t>.¨</w:t>
        </w:r>
      </w:hyperlink>
    </w:p>
    <w:p w14:paraId="29DDD1EA" w14:textId="77777777" w:rsidR="000532E8" w:rsidRPr="000532E8" w:rsidRDefault="000532E8" w:rsidP="000532E8">
      <w:pPr>
        <w:pStyle w:val="Zkladntext"/>
        <w:numPr>
          <w:ilvl w:val="1"/>
          <w:numId w:val="13"/>
        </w:numPr>
        <w:spacing w:before="60"/>
        <w:ind w:left="567" w:hanging="567"/>
        <w:rPr>
          <w:rFonts w:ascii="Calibri" w:hAnsi="Calibri" w:cs="Calibri"/>
          <w:sz w:val="22"/>
          <w:szCs w:val="18"/>
        </w:rPr>
      </w:pPr>
      <w:r w:rsidRPr="000532E8">
        <w:rPr>
          <w:rFonts w:ascii="Calibri" w:hAnsi="Calibri" w:cs="Calibri"/>
          <w:sz w:val="22"/>
          <w:szCs w:val="18"/>
        </w:rPr>
        <w:t xml:space="preserve">Zhotovitel potvrzuje, že se zavazuje v 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w:t>
      </w:r>
    </w:p>
    <w:p w14:paraId="1A546151" w14:textId="3A522437" w:rsidR="000532E8" w:rsidRPr="000532E8" w:rsidRDefault="000532E8" w:rsidP="000532E8">
      <w:pPr>
        <w:pStyle w:val="Zkladntext"/>
        <w:spacing w:before="60"/>
        <w:ind w:left="567"/>
        <w:rPr>
          <w:rFonts w:ascii="Calibri" w:hAnsi="Calibri" w:cs="Calibri"/>
          <w:sz w:val="22"/>
          <w:szCs w:val="18"/>
        </w:rPr>
      </w:pPr>
      <w:r w:rsidRPr="000532E8">
        <w:rPr>
          <w:rFonts w:ascii="Calibri" w:hAnsi="Calibri" w:cs="Calibri"/>
          <w:sz w:val="22"/>
          <w:szCs w:val="18"/>
        </w:rPr>
        <w:t>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ve výši 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100.</w:t>
      </w:r>
      <w:r w:rsidR="005F07AB" w:rsidRPr="00437B35">
        <w:rPr>
          <w:rFonts w:asciiTheme="minorHAnsi" w:hAnsiTheme="minorHAnsi"/>
          <w:sz w:val="22"/>
          <w:szCs w:val="22"/>
        </w:rPr>
        <w:t>000</w:t>
      </w:r>
      <w:r w:rsidR="00A024BE" w:rsidRPr="00437B35">
        <w:rPr>
          <w:rFonts w:asciiTheme="minorHAnsi" w:hAnsiTheme="minorHAnsi"/>
          <w:sz w:val="22"/>
          <w:szCs w:val="22"/>
        </w:rPr>
        <w:t>,-</w:t>
      </w:r>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r>
        <w:rPr>
          <w:rFonts w:ascii="Calibri" w:hAnsi="Calibri" w:cs="Arial"/>
          <w:iCs/>
          <w:kern w:val="1"/>
          <w:sz w:val="22"/>
          <w:szCs w:val="22"/>
        </w:rPr>
        <w:t>1</w:t>
      </w:r>
      <w:r w:rsidRPr="00E958B1">
        <w:rPr>
          <w:rFonts w:ascii="Calibri" w:hAnsi="Calibri" w:cs="Arial"/>
          <w:iCs/>
          <w:kern w:val="1"/>
          <w:sz w:val="22"/>
          <w:szCs w:val="22"/>
        </w:rPr>
        <w:t xml:space="preserve">00.000,-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lastRenderedPageBreak/>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5.000,-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nateli smluvní pokutu ve výši 100.000,-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779394F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762CF4">
        <w:rPr>
          <w:rFonts w:asciiTheme="minorHAnsi" w:hAnsiTheme="minorHAnsi" w:cstheme="minorHAnsi"/>
          <w:kern w:val="1"/>
          <w:sz w:val="22"/>
          <w:szCs w:val="22"/>
        </w:rPr>
        <w:t xml:space="preserve">3 </w:t>
      </w:r>
      <w:r w:rsidR="00972B70">
        <w:rPr>
          <w:rFonts w:asciiTheme="minorHAnsi" w:hAnsiTheme="minorHAnsi" w:cstheme="minorHAnsi"/>
          <w:kern w:val="1"/>
          <w:sz w:val="22"/>
          <w:szCs w:val="22"/>
        </w:rPr>
        <w:t>0</w:t>
      </w:r>
      <w:r w:rsidR="00E772EA">
        <w:rPr>
          <w:rFonts w:asciiTheme="minorHAnsi" w:hAnsiTheme="minorHAnsi" w:cstheme="minorHAnsi"/>
          <w:kern w:val="1"/>
          <w:sz w:val="22"/>
          <w:szCs w:val="22"/>
        </w:rPr>
        <w:t>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3C84A21F"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 xml:space="preserve">není osobou podléhající sankcím a žádná z osob podléhajících sankcím nefiguruje formálně ani fakticky ve vlastnické či řídící struktuře </w:t>
      </w:r>
      <w:r w:rsidR="002A09B5">
        <w:rPr>
          <w:rFonts w:ascii="Calibri" w:hAnsi="Calibri" w:cs="Calibri"/>
          <w:sz w:val="22"/>
        </w:rPr>
        <w:t>zhotovitele</w:t>
      </w:r>
      <w:r w:rsidRPr="00457357">
        <w:rPr>
          <w:rFonts w:ascii="Calibri" w:hAnsi="Calibri" w:cs="Calibri"/>
          <w:sz w:val="22"/>
        </w:rPr>
        <w:t xml:space="preserve">, není jeho skutečným majitelem, nedává jakékoli pokyny </w:t>
      </w:r>
      <w:r w:rsidR="002A09B5">
        <w:rPr>
          <w:rFonts w:ascii="Calibri" w:hAnsi="Calibri" w:cs="Calibri"/>
          <w:sz w:val="22"/>
        </w:rPr>
        <w:t>zhotoviteli</w:t>
      </w:r>
      <w:r w:rsidRPr="00457357">
        <w:rPr>
          <w:rFonts w:ascii="Calibri" w:hAnsi="Calibri" w:cs="Calibri"/>
          <w:sz w:val="22"/>
        </w:rPr>
        <w:t xml:space="preserve">, </w:t>
      </w:r>
      <w:r w:rsidR="002A09B5">
        <w:rPr>
          <w:rFonts w:ascii="Calibri" w:hAnsi="Calibri" w:cs="Calibri"/>
          <w:sz w:val="22"/>
        </w:rPr>
        <w:t xml:space="preserve">zhotovitele </w:t>
      </w:r>
      <w:r w:rsidRPr="00457357">
        <w:rPr>
          <w:rFonts w:ascii="Calibri" w:hAnsi="Calibri" w:cs="Calibri"/>
          <w:sz w:val="22"/>
        </w:rPr>
        <w:t>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4C28E05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2A09B5">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Výklad</w:t>
      </w:r>
      <w:r>
        <w:rPr>
          <w:rFonts w:ascii="Calibri" w:hAnsi="Calibri"/>
          <w:sz w:val="22"/>
          <w:szCs w:val="22"/>
        </w:rPr>
        <w:t xml:space="preserve">. </w:t>
      </w:r>
      <w:r w:rsidRPr="002964EB">
        <w:rPr>
          <w:rFonts w:ascii="Calibri" w:hAnsi="Calibri"/>
          <w:sz w:val="22"/>
          <w:szCs w:val="22"/>
        </w:rPr>
        <w:t xml:space="preserve">Při výkladu této Rámcové smlouvy a Dílčích smluv se nebude přihlížet k žádným obchodním zvyklostem, předsmluvním ujednáním ani případné zavedené praxi stran. Strany vylučují aplikaci pravidla </w:t>
      </w:r>
      <w:proofErr w:type="spellStart"/>
      <w:r w:rsidRPr="002964EB">
        <w:rPr>
          <w:rFonts w:ascii="Calibri" w:hAnsi="Calibri"/>
          <w:sz w:val="22"/>
          <w:szCs w:val="22"/>
        </w:rPr>
        <w:t>contra</w:t>
      </w:r>
      <w:proofErr w:type="spellEnd"/>
      <w:r w:rsidRPr="002964EB">
        <w:rPr>
          <w:rFonts w:ascii="Calibri" w:hAnsi="Calibri"/>
          <w:sz w:val="22"/>
          <w:szCs w:val="22"/>
        </w:rPr>
        <w:t xml:space="preserve"> </w:t>
      </w:r>
      <w:proofErr w:type="spellStart"/>
      <w:r w:rsidRPr="002964EB">
        <w:rPr>
          <w:rFonts w:ascii="Calibri" w:hAnsi="Calibri"/>
          <w:sz w:val="22"/>
          <w:szCs w:val="22"/>
        </w:rPr>
        <w:t>proferentem</w:t>
      </w:r>
      <w:proofErr w:type="spellEnd"/>
      <w:r w:rsidRPr="002964EB">
        <w:rPr>
          <w:rFonts w:ascii="Calibri" w:hAnsi="Calibri"/>
          <w:sz w:val="22"/>
          <w:szCs w:val="22"/>
        </w:rPr>
        <w:t xml:space="preserve">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7D74466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bCs/>
        <w:sz w:val="22"/>
        <w:szCs w:val="1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F044F722"/>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2E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09B5"/>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BD0"/>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2CF4"/>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353A"/>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 w:type="paragraph" w:styleId="Normlnweb">
    <w:name w:val="Normal (Web)"/>
    <w:basedOn w:val="Normln"/>
    <w:uiPriority w:val="99"/>
    <w:semiHidden/>
    <w:unhideWhenUsed/>
    <w:rsid w:val="000532E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607">
      <w:bodyDiv w:val="1"/>
      <w:marLeft w:val="0"/>
      <w:marRight w:val="0"/>
      <w:marTop w:val="0"/>
      <w:marBottom w:val="0"/>
      <w:divBdr>
        <w:top w:val="none" w:sz="0" w:space="0" w:color="auto"/>
        <w:left w:val="none" w:sz="0" w:space="0" w:color="auto"/>
        <w:bottom w:val="none" w:sz="0" w:space="0" w:color="auto"/>
        <w:right w:val="none" w:sz="0" w:space="0" w:color="auto"/>
      </w:divBdr>
    </w:div>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1938126001">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1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5695</Words>
  <Characters>33833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3</cp:revision>
  <cp:lastPrinted>2024-02-21T10:09:00Z</cp:lastPrinted>
  <dcterms:created xsi:type="dcterms:W3CDTF">2024-02-21T12:20:00Z</dcterms:created>
  <dcterms:modified xsi:type="dcterms:W3CDTF">2024-02-21T12:22:00Z</dcterms:modified>
</cp:coreProperties>
</file>