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05EC689" w14:textId="784921B1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2724CE">
        <w:rPr>
          <w:rFonts w:asciiTheme="minorHAnsi" w:eastAsia="Arial" w:hAnsiTheme="minorHAnsi" w:cstheme="minorHAnsi"/>
          <w:b/>
          <w:bCs/>
          <w:sz w:val="22"/>
          <w:szCs w:val="22"/>
        </w:rPr>
        <w:t>Údržba výměn, výhybek a další služby pro PPMB, a.s.</w:t>
      </w:r>
    </w:p>
    <w:p w14:paraId="1EF31E29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237BCA"/>
    <w:rsid w:val="00243024"/>
    <w:rsid w:val="00265C11"/>
    <w:rsid w:val="002724CE"/>
    <w:rsid w:val="002B50CD"/>
    <w:rsid w:val="003522FC"/>
    <w:rsid w:val="0037354C"/>
    <w:rsid w:val="00540084"/>
    <w:rsid w:val="00B32459"/>
    <w:rsid w:val="00C5674B"/>
    <w:rsid w:val="00C56F82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Matušková Kateřina</cp:lastModifiedBy>
  <cp:revision>5</cp:revision>
  <dcterms:created xsi:type="dcterms:W3CDTF">2023-08-10T09:52:00Z</dcterms:created>
  <dcterms:modified xsi:type="dcterms:W3CDTF">2024-03-18T11:57:00Z</dcterms:modified>
</cp:coreProperties>
</file>