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80A88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„Dodávka 1 ks </w:t>
            </w:r>
            <w:r w:rsidR="00500472">
              <w:rPr>
                <w:b/>
                <w:bCs/>
                <w:color w:val="000000"/>
                <w:sz w:val="22"/>
                <w:szCs w:val="22"/>
              </w:rPr>
              <w:t>pulsního čistícího laserového systému povrchů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500472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SVZ-63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0047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0047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0047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004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D10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cp:lastPrinted>2022-05-16T11:38:00Z</cp:lastPrinted>
  <dcterms:created xsi:type="dcterms:W3CDTF">2021-05-27T05:50:00Z</dcterms:created>
  <dcterms:modified xsi:type="dcterms:W3CDTF">2024-04-30T11:05:00Z</dcterms:modified>
</cp:coreProperties>
</file>