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A5F4" w14:textId="77777777" w:rsidR="006A3DD8" w:rsidRPr="00E76F45" w:rsidRDefault="006A3DD8" w:rsidP="006A3DD8">
      <w:pPr>
        <w:pStyle w:val="Nadpis1"/>
        <w:numPr>
          <w:ilvl w:val="0"/>
          <w:numId w:val="0"/>
        </w:numPr>
        <w:spacing w:before="360" w:after="0"/>
        <w:jc w:val="center"/>
        <w:rPr>
          <w:color w:val="auto"/>
          <w:sz w:val="40"/>
        </w:rPr>
      </w:pPr>
      <w:bookmarkStart w:id="0" w:name="_Toc373393767"/>
      <w:bookmarkStart w:id="1" w:name="_Toc374712635"/>
      <w:r>
        <w:rPr>
          <w:color w:val="auto"/>
          <w:sz w:val="40"/>
        </w:rPr>
        <w:t>DOPLŇUJÍCÍ INFORMACE – ČÁST B</w:t>
      </w:r>
    </w:p>
    <w:p w14:paraId="7552A5F5" w14:textId="77777777" w:rsidR="00927095" w:rsidRPr="00927095" w:rsidRDefault="00927095" w:rsidP="00927095">
      <w:pPr>
        <w:jc w:val="center"/>
        <w:rPr>
          <w:b/>
          <w:color w:val="E36C0A" w:themeColor="accent6" w:themeShade="BF"/>
          <w:sz w:val="24"/>
          <w:szCs w:val="24"/>
        </w:rPr>
      </w:pPr>
    </w:p>
    <w:p w14:paraId="7552A5F6" w14:textId="77777777" w:rsidR="00927095" w:rsidRDefault="00927095" w:rsidP="00927095">
      <w:pPr>
        <w:jc w:val="center"/>
        <w:rPr>
          <w:b/>
          <w:caps/>
          <w:sz w:val="40"/>
        </w:rPr>
      </w:pPr>
      <w:r w:rsidRPr="003D6DF0">
        <w:rPr>
          <w:b/>
          <w:color w:val="E36C0A" w:themeColor="accent6" w:themeShade="BF"/>
          <w:sz w:val="36"/>
          <w:szCs w:val="40"/>
        </w:rPr>
        <w:t>Pojištění majetku, odpovědnosti a motorových vozidel</w:t>
      </w:r>
      <w:r w:rsidRPr="00166CF2">
        <w:rPr>
          <w:b/>
          <w:caps/>
          <w:sz w:val="40"/>
        </w:rPr>
        <w:t xml:space="preserve"> </w:t>
      </w:r>
    </w:p>
    <w:p w14:paraId="7552A5F7" w14:textId="77777777" w:rsidR="00E72C38" w:rsidRPr="006A3DD8" w:rsidRDefault="00E72C38" w:rsidP="006A3DD8">
      <w:pPr>
        <w:pStyle w:val="Nadpis1"/>
        <w:ind w:left="567" w:hanging="567"/>
        <w:rPr>
          <w:color w:val="auto"/>
          <w:sz w:val="28"/>
        </w:rPr>
      </w:pPr>
      <w:r w:rsidRPr="006A3DD8">
        <w:rPr>
          <w:color w:val="auto"/>
          <w:sz w:val="28"/>
        </w:rPr>
        <w:t xml:space="preserve">Specifikace k pojištění motorových vozidel (havarijní pojištění, </w:t>
      </w:r>
      <w:r w:rsidR="00AF150D">
        <w:rPr>
          <w:color w:val="auto"/>
          <w:sz w:val="28"/>
        </w:rPr>
        <w:t xml:space="preserve">doplňková pojištění a </w:t>
      </w:r>
      <w:r w:rsidRPr="006A3DD8">
        <w:rPr>
          <w:color w:val="auto"/>
          <w:sz w:val="28"/>
        </w:rPr>
        <w:t>povinné ručení)</w:t>
      </w:r>
      <w:bookmarkEnd w:id="0"/>
      <w:bookmarkEnd w:id="1"/>
    </w:p>
    <w:p w14:paraId="7552A5F8" w14:textId="77777777" w:rsidR="00E72C38" w:rsidRPr="004E13E2" w:rsidRDefault="00E72C38" w:rsidP="00E72C38">
      <w:pPr>
        <w:pStyle w:val="Nadpis2"/>
      </w:pPr>
      <w:r w:rsidRPr="004E13E2">
        <w:t>Havarijní pojištění</w:t>
      </w:r>
    </w:p>
    <w:p w14:paraId="7552A5F9" w14:textId="77777777" w:rsidR="00E72C38" w:rsidRDefault="00E72C38" w:rsidP="00E72C38">
      <w:r>
        <w:t>P</w:t>
      </w:r>
      <w:r w:rsidRPr="003042E7">
        <w:t>odkladem pro vypracování nabídky pojištění motorových vozidel jsou evidenční údaje o každém motorovém vozidlu, speciálním vozidlu nebo stroji.</w:t>
      </w:r>
    </w:p>
    <w:p w14:paraId="7552A5FA" w14:textId="77777777" w:rsidR="00E72C38" w:rsidRDefault="00E72C38" w:rsidP="00E72C38">
      <w:r w:rsidRPr="0099306B">
        <w:t xml:space="preserve">Havarijní pojištění se týká veškerých vozidel, která mají v příloze č. </w:t>
      </w:r>
      <w:r w:rsidR="00475856">
        <w:t>7B</w:t>
      </w:r>
      <w:r w:rsidR="00475856" w:rsidRPr="0099306B">
        <w:t xml:space="preserve"> </w:t>
      </w:r>
      <w:r w:rsidRPr="0099306B">
        <w:t>Z</w:t>
      </w:r>
      <w:r w:rsidR="00475856">
        <w:t>adávací dokumentace</w:t>
      </w:r>
      <w:r w:rsidRPr="0099306B">
        <w:t xml:space="preserve"> s názvem </w:t>
      </w:r>
      <w:r w:rsidRPr="0099306B">
        <w:rPr>
          <w:i/>
        </w:rPr>
        <w:t xml:space="preserve">„Rozsah pojištění – část </w:t>
      </w:r>
      <w:r w:rsidR="00475856">
        <w:rPr>
          <w:i/>
        </w:rPr>
        <w:t>B</w:t>
      </w:r>
      <w:r w:rsidR="00475856" w:rsidRPr="0099306B">
        <w:rPr>
          <w:i/>
        </w:rPr>
        <w:t xml:space="preserve"> </w:t>
      </w:r>
      <w:r w:rsidRPr="0099306B">
        <w:rPr>
          <w:i/>
        </w:rPr>
        <w:t xml:space="preserve">Veřejné zakázky“ </w:t>
      </w:r>
      <w:r w:rsidRPr="0099306B">
        <w:t>uvedeny pojistné částky a spoluúčasti.</w:t>
      </w:r>
      <w:r>
        <w:t xml:space="preserve"> </w:t>
      </w:r>
    </w:p>
    <w:p w14:paraId="7552A5FB" w14:textId="77777777" w:rsidR="00E72C38" w:rsidRPr="003042E7" w:rsidRDefault="00E72C38" w:rsidP="00E72C38">
      <w:r w:rsidRPr="003042E7">
        <w:t>Územní platnost: Evropa</w:t>
      </w:r>
    </w:p>
    <w:p w14:paraId="7552A5FC" w14:textId="77777777" w:rsidR="00E72C38" w:rsidRDefault="00E72C38" w:rsidP="00E72C38">
      <w:bookmarkStart w:id="2" w:name="_Toc373393769"/>
      <w:bookmarkStart w:id="3" w:name="_Toc374712637"/>
      <w:r w:rsidRPr="003042E7">
        <w:t>Rozsah pojištění: Havárie, odcizení, živel, vandalismus</w:t>
      </w:r>
      <w:r>
        <w:t>.</w:t>
      </w:r>
    </w:p>
    <w:p w14:paraId="7552A5FD" w14:textId="77777777" w:rsidR="00E72C38" w:rsidRDefault="00E72C38" w:rsidP="00E72C38">
      <w:pPr>
        <w:pStyle w:val="Nadpis2"/>
      </w:pPr>
      <w:r>
        <w:t>Doplňková pojištění</w:t>
      </w:r>
    </w:p>
    <w:p w14:paraId="7552A5FE" w14:textId="77777777" w:rsidR="00E72C38" w:rsidRPr="004E13E2" w:rsidRDefault="00E72C38" w:rsidP="00E72C38">
      <w:pPr>
        <w:pStyle w:val="Nadpis3"/>
      </w:pPr>
      <w:r w:rsidRPr="004E13E2">
        <w:t>Skla</w:t>
      </w:r>
    </w:p>
    <w:p w14:paraId="7552A5FF" w14:textId="77777777" w:rsidR="00E72C38" w:rsidRDefault="00E72C38" w:rsidP="00E72C38">
      <w:r>
        <w:t xml:space="preserve">Pro dodatkové pojištění skel (všechna výhledová) se požadují limity uvedené v příloze č. </w:t>
      </w:r>
      <w:r w:rsidR="00475856">
        <w:t xml:space="preserve">7B </w:t>
      </w:r>
      <w:r w:rsidR="00475856" w:rsidRPr="0099306B">
        <w:t>Z</w:t>
      </w:r>
      <w:r w:rsidR="00475856">
        <w:t>adávací dokumentace</w:t>
      </w:r>
      <w:r>
        <w:t xml:space="preserve"> s názvem </w:t>
      </w:r>
      <w:r w:rsidRPr="00641D8F">
        <w:rPr>
          <w:i/>
        </w:rPr>
        <w:t>„Rozsah pojištění – čá</w:t>
      </w:r>
      <w:r>
        <w:rPr>
          <w:i/>
        </w:rPr>
        <w:t xml:space="preserve">st </w:t>
      </w:r>
      <w:r w:rsidR="00475856">
        <w:rPr>
          <w:i/>
        </w:rPr>
        <w:t xml:space="preserve">B </w:t>
      </w:r>
      <w:r>
        <w:rPr>
          <w:i/>
        </w:rPr>
        <w:t xml:space="preserve">Veřejné zakázky“, </w:t>
      </w:r>
      <w:r>
        <w:t>a to v rozsahu limitu na jednu PU, sjednaná spoluúčast je 0,- Kč. U vozidel, u kterých není limit uveden, není dodatkové pojištění požadováno.</w:t>
      </w:r>
    </w:p>
    <w:p w14:paraId="7552A600" w14:textId="77777777" w:rsidR="00E72C38" w:rsidRPr="004E13E2" w:rsidRDefault="00E72C38" w:rsidP="00E72C38">
      <w:pPr>
        <w:pStyle w:val="Nadpis3"/>
      </w:pPr>
      <w:r w:rsidRPr="004E13E2">
        <w:t>Zava</w:t>
      </w:r>
      <w:r w:rsidR="006A3DD8">
        <w:t>ZADLA</w:t>
      </w:r>
    </w:p>
    <w:p w14:paraId="7552A601" w14:textId="77777777" w:rsidR="00E72C38" w:rsidRDefault="00E72C38" w:rsidP="00E72C38">
      <w:r>
        <w:t>Pro dodatkové pojištění zavazadel se požadují limity uvedené v seznamu u jednotlivých motorových vozidel. U vozidel, u kterých není limit uveden, není dodatkové pojištění požadováno.</w:t>
      </w:r>
    </w:p>
    <w:p w14:paraId="7552A602" w14:textId="77777777" w:rsidR="00E72C38" w:rsidRPr="004E13E2" w:rsidRDefault="00E72C38" w:rsidP="00E72C38">
      <w:pPr>
        <w:pStyle w:val="Nadpis3"/>
      </w:pPr>
      <w:r w:rsidRPr="004E13E2">
        <w:t>Strojní rizika</w:t>
      </w:r>
    </w:p>
    <w:p w14:paraId="7552A603" w14:textId="77777777" w:rsidR="00E72C38" w:rsidRDefault="00E72C38" w:rsidP="00E72C38">
      <w:r>
        <w:t xml:space="preserve">Pro dodatkové pojištění strojních rizik (vyjmutí výluky na škody z činnosti pracovního stroje) se požaduji pojistné částky uvedené v příloze č. </w:t>
      </w:r>
      <w:r w:rsidR="00475856">
        <w:t xml:space="preserve">7B </w:t>
      </w:r>
      <w:r w:rsidR="00475856" w:rsidRPr="0099306B">
        <w:t>Z</w:t>
      </w:r>
      <w:r w:rsidR="00475856">
        <w:t xml:space="preserve">adávací dokumentace </w:t>
      </w:r>
      <w:r>
        <w:t xml:space="preserve">s názvem </w:t>
      </w:r>
      <w:r w:rsidRPr="00641D8F">
        <w:rPr>
          <w:i/>
        </w:rPr>
        <w:t xml:space="preserve">„Rozsah pojištění – část </w:t>
      </w:r>
      <w:r w:rsidR="00475856">
        <w:rPr>
          <w:i/>
        </w:rPr>
        <w:t>B</w:t>
      </w:r>
      <w:r w:rsidR="00475856" w:rsidRPr="00641D8F">
        <w:rPr>
          <w:i/>
        </w:rPr>
        <w:t xml:space="preserve"> </w:t>
      </w:r>
      <w:r w:rsidRPr="00641D8F">
        <w:rPr>
          <w:i/>
        </w:rPr>
        <w:t>Veřejné zakázky“</w:t>
      </w:r>
      <w:r>
        <w:t>. U vozidel, u kterých není limit uveden, není dodatkové pojištění požadováno.</w:t>
      </w:r>
    </w:p>
    <w:p w14:paraId="7552A604" w14:textId="77777777" w:rsidR="00E72C38" w:rsidRPr="003042E7" w:rsidRDefault="00E72C38" w:rsidP="00E72C38">
      <w:pPr>
        <w:pStyle w:val="Nadpis2"/>
      </w:pPr>
      <w:r w:rsidRPr="003042E7">
        <w:t>Pojištění odpovědnosti z provozu vozidla (dále jen „POV“)</w:t>
      </w:r>
    </w:p>
    <w:p w14:paraId="7552A605" w14:textId="77777777" w:rsidR="00E72C38" w:rsidRDefault="00E72C38" w:rsidP="00E72C38">
      <w:r>
        <w:t xml:space="preserve">Pojištěna budou veškerá vozidla uvedená v příloze č. </w:t>
      </w:r>
      <w:r w:rsidR="00475856">
        <w:t xml:space="preserve">7B </w:t>
      </w:r>
      <w:r w:rsidR="00475856" w:rsidRPr="0099306B">
        <w:t>Z</w:t>
      </w:r>
      <w:r w:rsidR="00475856">
        <w:t>adávací dokumentace</w:t>
      </w:r>
      <w:r>
        <w:t xml:space="preserve"> s názvem </w:t>
      </w:r>
      <w:r w:rsidRPr="00641D8F">
        <w:rPr>
          <w:i/>
        </w:rPr>
        <w:t xml:space="preserve">„Rozsah pojištění – část </w:t>
      </w:r>
      <w:r w:rsidR="00475856">
        <w:rPr>
          <w:i/>
        </w:rPr>
        <w:t xml:space="preserve">B </w:t>
      </w:r>
      <w:r w:rsidRPr="00641D8F">
        <w:rPr>
          <w:i/>
        </w:rPr>
        <w:t>Veřejné zakázky“</w:t>
      </w:r>
    </w:p>
    <w:p w14:paraId="7552A606" w14:textId="36051AF9" w:rsidR="00E72C38" w:rsidRDefault="00E72C38" w:rsidP="00E72C38">
      <w:r w:rsidRPr="003042E7">
        <w:t xml:space="preserve">Limity pojistného plnění dle </w:t>
      </w:r>
      <w:r w:rsidR="00213259" w:rsidRPr="00BD6F63">
        <w:t xml:space="preserve">§ </w:t>
      </w:r>
      <w:r w:rsidR="00213259">
        <w:t>14</w:t>
      </w:r>
      <w:r w:rsidR="00213259" w:rsidRPr="00BD6F63">
        <w:t xml:space="preserve"> </w:t>
      </w:r>
      <w:r w:rsidR="00213259">
        <w:t xml:space="preserve">a 15 </w:t>
      </w:r>
      <w:r w:rsidR="00213259" w:rsidRPr="00BD6F63">
        <w:t xml:space="preserve">zákona č. </w:t>
      </w:r>
      <w:r w:rsidR="00213259">
        <w:t xml:space="preserve">30/2024 </w:t>
      </w:r>
      <w:r w:rsidR="00213259" w:rsidRPr="00BD6F63">
        <w:t>Sb.</w:t>
      </w:r>
      <w:r w:rsidR="00213259">
        <w:t>, o pojištění odpovědnosti z provozu vozidla v platném znění (dále jen „</w:t>
      </w:r>
      <w:r w:rsidR="00213259" w:rsidRPr="00020CD8">
        <w:rPr>
          <w:b/>
          <w:bCs/>
        </w:rPr>
        <w:t>ZPOPV</w:t>
      </w:r>
      <w:r w:rsidR="00213259">
        <w:t>“)</w:t>
      </w:r>
      <w:r w:rsidRPr="003042E7">
        <w:t xml:space="preserve"> budou u každého pojištěného vozidla činit při </w:t>
      </w:r>
      <w:r w:rsidR="00BC7507" w:rsidRPr="00BD6F63">
        <w:t xml:space="preserve">újmě podle § </w:t>
      </w:r>
      <w:r w:rsidR="00BC7507">
        <w:t xml:space="preserve">17 odst. 2 </w:t>
      </w:r>
      <w:r w:rsidR="00BC7507">
        <w:lastRenderedPageBreak/>
        <w:t>písm. a)</w:t>
      </w:r>
      <w:r w:rsidR="00BC7507" w:rsidRPr="00BD6F63">
        <w:t xml:space="preserve"> </w:t>
      </w:r>
      <w:r w:rsidR="00BC7507">
        <w:t>ZPOPV</w:t>
      </w:r>
      <w:r w:rsidRPr="003042E7">
        <w:t xml:space="preserve"> minimálně </w:t>
      </w:r>
      <w:r w:rsidRPr="003042E7">
        <w:rPr>
          <w:b/>
        </w:rPr>
        <w:t>100 000 000,- Kč</w:t>
      </w:r>
      <w:r w:rsidRPr="003042E7">
        <w:t xml:space="preserve"> na</w:t>
      </w:r>
      <w:r>
        <w:t> </w:t>
      </w:r>
      <w:r w:rsidRPr="003042E7">
        <w:t xml:space="preserve">každého zraněného nebo usmrceného včetně náhrady nákladů vynaložených na péči hrazenou z veřejného zdravotního pojištění a regresního nároku podle </w:t>
      </w:r>
      <w:r w:rsidR="00424176" w:rsidRPr="00BD6F63">
        <w:t>§ </w:t>
      </w:r>
      <w:r w:rsidR="00424176">
        <w:t>14 odst. 2 ZPOPV</w:t>
      </w:r>
      <w:r w:rsidRPr="003042E7">
        <w:t>, a</w:t>
      </w:r>
      <w:r>
        <w:t> </w:t>
      </w:r>
      <w:r w:rsidRPr="003042E7">
        <w:t>při</w:t>
      </w:r>
      <w:r>
        <w:t> </w:t>
      </w:r>
      <w:r w:rsidR="00B555F4" w:rsidRPr="00BD6F63">
        <w:t xml:space="preserve">újmě podle § </w:t>
      </w:r>
      <w:r w:rsidR="00B555F4">
        <w:t>17</w:t>
      </w:r>
      <w:r w:rsidR="00B555F4" w:rsidRPr="00BD6F63">
        <w:t xml:space="preserve"> odst. 2 písm. b) a c) </w:t>
      </w:r>
      <w:r w:rsidR="00B555F4">
        <w:t>ZPOPV</w:t>
      </w:r>
      <w:r w:rsidRPr="003042E7">
        <w:t xml:space="preserve"> Minimálně </w:t>
      </w:r>
      <w:r w:rsidRPr="003042E7">
        <w:rPr>
          <w:b/>
        </w:rPr>
        <w:t>100 000 000,- Kč</w:t>
      </w:r>
      <w:r w:rsidRPr="003042E7">
        <w:t xml:space="preserve"> bez ohledu na počet poškozených.</w:t>
      </w:r>
    </w:p>
    <w:p w14:paraId="7552A607" w14:textId="77777777" w:rsidR="00E72C38" w:rsidRPr="00213259" w:rsidRDefault="00E72C38" w:rsidP="00E72C38">
      <w:pPr>
        <w:pStyle w:val="Nadpis3"/>
        <w:rPr>
          <w:color w:val="auto"/>
        </w:rPr>
      </w:pPr>
      <w:r w:rsidRPr="00213259">
        <w:rPr>
          <w:color w:val="auto"/>
        </w:rPr>
        <w:t>Škody způsobené při pracovní činnosti z POV</w:t>
      </w:r>
    </w:p>
    <w:p w14:paraId="7552A608" w14:textId="77777777" w:rsidR="00E72C38" w:rsidRPr="00213259" w:rsidRDefault="00E72C38" w:rsidP="00E72C38">
      <w:r w:rsidRPr="00213259">
        <w:t xml:space="preserve">V rámci pojištění odpovědnosti za újmu z provozu vozidel budou hrazeny škody způsobené nástavbou nebo činností nástavby speciálních vozidel (pluhy, sekačky, sypače) a to v případě, že byla příčina pojistné události v souvislosti s pohybem vozidla. Toto ujednání neplatí pro škody způsobené poškozením letícím předmětem od přídavného zařízení, mající separátní pohon. </w:t>
      </w:r>
    </w:p>
    <w:p w14:paraId="7552A609" w14:textId="77777777" w:rsidR="00E72C38" w:rsidRPr="00213259" w:rsidRDefault="00E72C38" w:rsidP="00E72C38">
      <w:pPr>
        <w:pStyle w:val="Nadpis3"/>
        <w:rPr>
          <w:color w:val="auto"/>
        </w:rPr>
      </w:pPr>
      <w:r w:rsidRPr="00213259">
        <w:rPr>
          <w:color w:val="auto"/>
        </w:rPr>
        <w:t>Asistenční služby</w:t>
      </w:r>
    </w:p>
    <w:p w14:paraId="7552A60A" w14:textId="58470194" w:rsidR="00E72C38" w:rsidRDefault="00E72C38" w:rsidP="00E72C38">
      <w:r>
        <w:t xml:space="preserve">V ceně pojištění budou zahrnuty asistenční služby na území České republiky v případě poruchy či havárie vozidla, spočívající v odtažení vozidla do celkové vzdálenosti minimálně </w:t>
      </w:r>
      <w:r w:rsidR="00705EE1">
        <w:t>100</w:t>
      </w:r>
      <w:r>
        <w:t xml:space="preserve"> km, bez spoluúčasti pojištěného a bez omezení počtu asistenčních zásahů za kalendářní rok. V případě, že pojistitel nenabízí rozsah asistenčních služeb určený vzdáleností, bude stanoven limit odpovídající dojezdové vzdálenosti minimálně </w:t>
      </w:r>
      <w:r w:rsidR="00705EE1">
        <w:t>100</w:t>
      </w:r>
      <w:r>
        <w:t xml:space="preserve"> km pro příslušné vozidlo.</w:t>
      </w:r>
    </w:p>
    <w:p w14:paraId="7552A60B" w14:textId="77777777" w:rsidR="00E72C38" w:rsidRPr="006A3DD8" w:rsidRDefault="00E72C38" w:rsidP="006A3DD8">
      <w:pPr>
        <w:pStyle w:val="Nadpis1"/>
        <w:ind w:hanging="502"/>
        <w:rPr>
          <w:color w:val="auto"/>
          <w:sz w:val="28"/>
        </w:rPr>
      </w:pPr>
      <w:r w:rsidRPr="006A3DD8">
        <w:rPr>
          <w:color w:val="auto"/>
          <w:sz w:val="28"/>
        </w:rPr>
        <w:t>Speciální ujednání k pojištění motorových vozidel</w:t>
      </w:r>
      <w:bookmarkEnd w:id="2"/>
      <w:bookmarkEnd w:id="3"/>
    </w:p>
    <w:p w14:paraId="7552A60C" w14:textId="77777777" w:rsidR="00E72C38" w:rsidRPr="003042E7" w:rsidRDefault="00E72C38" w:rsidP="00E72C38">
      <w:pPr>
        <w:pStyle w:val="Nadpis2"/>
      </w:pPr>
      <w:bookmarkStart w:id="4" w:name="_Toc373393770"/>
      <w:bookmarkStart w:id="5" w:name="_Toc374712638"/>
      <w:r w:rsidRPr="003042E7">
        <w:t>Zabezpečení</w:t>
      </w:r>
      <w:bookmarkEnd w:id="4"/>
      <w:bookmarkEnd w:id="5"/>
    </w:p>
    <w:p w14:paraId="7552A60D" w14:textId="77777777" w:rsidR="00E72C38" w:rsidRPr="003042E7" w:rsidRDefault="00E72C38" w:rsidP="00E72C38">
      <w:pPr>
        <w:pStyle w:val="Podnadpis"/>
        <w:rPr>
          <w:rFonts w:cstheme="minorBidi"/>
          <w:i/>
          <w:iCs/>
          <w:color w:val="auto"/>
          <w:szCs w:val="22"/>
        </w:rPr>
      </w:pPr>
      <w:r w:rsidRPr="003042E7">
        <w:rPr>
          <w:rFonts w:cstheme="minorBidi"/>
          <w:color w:val="auto"/>
          <w:szCs w:val="22"/>
        </w:rPr>
        <w:t>Pro jednotlivá vozidla flotily bude akceptován stávající stav zabezpečení pojištěného vozidla.</w:t>
      </w:r>
    </w:p>
    <w:p w14:paraId="7552A60E" w14:textId="77777777" w:rsidR="00E72C38" w:rsidRPr="003042E7" w:rsidRDefault="00E72C38" w:rsidP="00E72C38">
      <w:pPr>
        <w:pStyle w:val="Nadpis2"/>
      </w:pPr>
      <w:bookmarkStart w:id="6" w:name="_Toc373393771"/>
      <w:bookmarkStart w:id="7" w:name="_Toc374712639"/>
      <w:r w:rsidRPr="003042E7">
        <w:t>Výbava vozidla</w:t>
      </w:r>
      <w:bookmarkEnd w:id="6"/>
      <w:bookmarkEnd w:id="7"/>
      <w:r w:rsidR="00F01FF1">
        <w:t xml:space="preserve"> a strojní nástavby</w:t>
      </w:r>
    </w:p>
    <w:p w14:paraId="7552A60F" w14:textId="77777777" w:rsidR="00E72C38" w:rsidRPr="003042E7" w:rsidRDefault="00E72C38" w:rsidP="00E72C38">
      <w:pPr>
        <w:pStyle w:val="Podnadpis"/>
        <w:rPr>
          <w:rFonts w:cstheme="minorBidi"/>
          <w:i/>
          <w:iCs/>
          <w:color w:val="auto"/>
          <w:szCs w:val="22"/>
        </w:rPr>
      </w:pPr>
      <w:r w:rsidRPr="003042E7">
        <w:rPr>
          <w:rFonts w:cstheme="minorBidi"/>
          <w:color w:val="auto"/>
          <w:szCs w:val="22"/>
        </w:rPr>
        <w:t>Veškerá vozidla ve flotile jsou pojištěna včetně standardní</w:t>
      </w:r>
      <w:r w:rsidR="00705EE1">
        <w:rPr>
          <w:rFonts w:cstheme="minorBidi"/>
          <w:color w:val="auto"/>
          <w:szCs w:val="22"/>
        </w:rPr>
        <w:t xml:space="preserve">, </w:t>
      </w:r>
      <w:r w:rsidRPr="003042E7">
        <w:rPr>
          <w:rFonts w:cstheme="minorBidi"/>
          <w:color w:val="auto"/>
          <w:szCs w:val="22"/>
        </w:rPr>
        <w:t>nadstandardní výbavy vozidla</w:t>
      </w:r>
      <w:r w:rsidR="00705EE1">
        <w:rPr>
          <w:rFonts w:cstheme="minorBidi"/>
          <w:color w:val="auto"/>
          <w:szCs w:val="22"/>
        </w:rPr>
        <w:t>, a strojních nástaveb, které jsou pevně spojeny s vozidlem.</w:t>
      </w:r>
      <w:r w:rsidRPr="003042E7">
        <w:rPr>
          <w:rFonts w:cstheme="minorBidi"/>
          <w:color w:val="auto"/>
          <w:szCs w:val="22"/>
        </w:rPr>
        <w:t xml:space="preserve"> Tato</w:t>
      </w:r>
      <w:r>
        <w:rPr>
          <w:rFonts w:cstheme="minorBidi"/>
          <w:color w:val="auto"/>
          <w:szCs w:val="22"/>
        </w:rPr>
        <w:t> </w:t>
      </w:r>
      <w:r w:rsidRPr="003042E7">
        <w:rPr>
          <w:rFonts w:cstheme="minorBidi"/>
          <w:color w:val="auto"/>
          <w:szCs w:val="22"/>
        </w:rPr>
        <w:t xml:space="preserve">výbava </w:t>
      </w:r>
      <w:r w:rsidR="00705EE1">
        <w:rPr>
          <w:rFonts w:cstheme="minorBidi"/>
          <w:color w:val="auto"/>
          <w:szCs w:val="22"/>
        </w:rPr>
        <w:t xml:space="preserve">a zařízení </w:t>
      </w:r>
      <w:r w:rsidRPr="003042E7">
        <w:rPr>
          <w:rFonts w:cstheme="minorBidi"/>
          <w:color w:val="auto"/>
          <w:szCs w:val="22"/>
        </w:rPr>
        <w:t>je zahrnuta do pojistné částky daného vozidla.</w:t>
      </w:r>
    </w:p>
    <w:p w14:paraId="7552A610" w14:textId="77777777" w:rsidR="00E72C38" w:rsidRPr="003042E7" w:rsidRDefault="00E72C38" w:rsidP="00E72C38">
      <w:pPr>
        <w:pStyle w:val="Nadpis2"/>
      </w:pPr>
      <w:bookmarkStart w:id="8" w:name="_Toc373393772"/>
      <w:bookmarkStart w:id="9" w:name="_Toc374712640"/>
      <w:r w:rsidRPr="003042E7">
        <w:t>Akceptace prohlídky smluvním partnerem</w:t>
      </w:r>
      <w:bookmarkEnd w:id="8"/>
      <w:bookmarkEnd w:id="9"/>
    </w:p>
    <w:p w14:paraId="7552A611" w14:textId="77777777" w:rsidR="00E72C38" w:rsidRPr="003042E7" w:rsidRDefault="00E72C38" w:rsidP="00E72C38">
      <w:r w:rsidRPr="003042E7">
        <w:t>Pojistitel akceptuje likvidaci pojistné události bez nutnosti provedení prohlídky technika pojistitele u</w:t>
      </w:r>
      <w:r>
        <w:t> </w:t>
      </w:r>
      <w:r w:rsidRPr="003042E7">
        <w:t>škod do výše škody 100.000 Kč. Prohlídku provede pojistník nebo jiný definovaný partner, který je</w:t>
      </w:r>
      <w:r>
        <w:t> </w:t>
      </w:r>
      <w:r w:rsidRPr="003042E7">
        <w:t>povinen provést fotodokumentaci poškození vozidla (nafocení vozidla přes 4 rohy, foto detailu poškozených dílů, foto VIN a tachometru s najetými Km).</w:t>
      </w:r>
    </w:p>
    <w:p w14:paraId="7552A612" w14:textId="77777777" w:rsidR="00E72C38" w:rsidRPr="00BF0C7D" w:rsidRDefault="00E72C38" w:rsidP="00E72C38">
      <w:pPr>
        <w:pStyle w:val="Nadpis2"/>
      </w:pPr>
      <w:bookmarkStart w:id="10" w:name="_Toc373393774"/>
      <w:bookmarkStart w:id="11" w:name="_Toc374712642"/>
      <w:r w:rsidRPr="00BF0C7D">
        <w:t>Pojištění strojních a elektronických součástí vozidla</w:t>
      </w:r>
      <w:bookmarkEnd w:id="10"/>
      <w:bookmarkEnd w:id="11"/>
    </w:p>
    <w:p w14:paraId="7552A613" w14:textId="77777777" w:rsidR="00E72C38" w:rsidRPr="00BF0C7D" w:rsidRDefault="00E72C38" w:rsidP="00E72C38">
      <w:r w:rsidRPr="00BF0C7D">
        <w:t>Pojistitel poskytne pojistné plnění za škody, které vzniknou na strojních součástech vozidla nebo nástav</w:t>
      </w:r>
      <w:r w:rsidR="00EB483A" w:rsidRPr="00BF0C7D">
        <w:t>bách</w:t>
      </w:r>
      <w:r w:rsidRPr="00BF0C7D">
        <w:t xml:space="preserve"> z důvodu chybné obsluhy. Specifikace strojních součástí: hydraulické písty a hadice, mechanismus sklápění, nástavba na vyměnitelné kontejnery, měřiče a čerpadla, atd.</w:t>
      </w:r>
    </w:p>
    <w:p w14:paraId="7552A614" w14:textId="77777777" w:rsidR="00E72C38" w:rsidRPr="00BF0C7D" w:rsidRDefault="00E72C38" w:rsidP="00E72C38">
      <w:pPr>
        <w:pStyle w:val="Nadpis2"/>
      </w:pPr>
      <w:bookmarkStart w:id="12" w:name="_Toc373393775"/>
      <w:bookmarkStart w:id="13" w:name="_Toc374712643"/>
      <w:r w:rsidRPr="00BF0C7D">
        <w:t>Pojištění strojních škod</w:t>
      </w:r>
      <w:bookmarkEnd w:id="12"/>
      <w:bookmarkEnd w:id="13"/>
    </w:p>
    <w:p w14:paraId="7552A615" w14:textId="77777777" w:rsidR="00E72C38" w:rsidRPr="00BF0C7D" w:rsidRDefault="00E72C38" w:rsidP="00E72C38">
      <w:r w:rsidRPr="00BF0C7D">
        <w:lastRenderedPageBreak/>
        <w:t>Pojistitel poskytne pojistné plnění za škody na vozidle a nástavbě, které vzniknou z důvodu vadné obsluhy při: sklápění, vykládce a nakládce, čerpání kapalin a plynů, tažení vozidla, atd.</w:t>
      </w:r>
    </w:p>
    <w:p w14:paraId="7552A616" w14:textId="77777777" w:rsidR="00E72C38" w:rsidRPr="00BF0C7D" w:rsidRDefault="00E72C38" w:rsidP="00E72C38">
      <w:pPr>
        <w:pStyle w:val="Nadpis2"/>
      </w:pPr>
      <w:bookmarkStart w:id="14" w:name="_Toc373393777"/>
      <w:bookmarkStart w:id="15" w:name="_Toc374712645"/>
      <w:r w:rsidRPr="00BF0C7D">
        <w:t>Pojištění zavazadel – firemní zavazadla</w:t>
      </w:r>
      <w:bookmarkEnd w:id="14"/>
      <w:bookmarkEnd w:id="15"/>
    </w:p>
    <w:p w14:paraId="7552A617" w14:textId="77777777" w:rsidR="00E72C38" w:rsidRDefault="00E72C38" w:rsidP="00E72C38">
      <w:r w:rsidRPr="003042E7">
        <w:t>Pojištění se také vztahuje na přepravu movitých věcí a zásob, které jsou ve vlastnictví zaměstnavatele a mají výrobní nebo provozní charakter.</w:t>
      </w:r>
    </w:p>
    <w:p w14:paraId="7552A618" w14:textId="77777777" w:rsidR="00E72C38" w:rsidRDefault="00E72C38" w:rsidP="00E72C38">
      <w:pPr>
        <w:pStyle w:val="Nadpis2"/>
      </w:pPr>
      <w:r>
        <w:t>Škodný průběh</w:t>
      </w:r>
    </w:p>
    <w:p w14:paraId="7552A619" w14:textId="77777777" w:rsidR="00E72C38" w:rsidRPr="003042E7" w:rsidRDefault="00E72C38" w:rsidP="00E72C38"/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126"/>
        <w:gridCol w:w="2268"/>
        <w:gridCol w:w="1985"/>
      </w:tblGrid>
      <w:tr w:rsidR="00B74800" w:rsidRPr="000F606D" w14:paraId="7552A61E" w14:textId="77777777" w:rsidTr="00BB4FD4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1A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období od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1B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období do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1C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škody vč. rezerv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A61D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škodní průběh</w:t>
            </w:r>
          </w:p>
        </w:tc>
      </w:tr>
      <w:tr w:rsidR="00B74800" w:rsidRPr="000F606D" w14:paraId="7552A623" w14:textId="77777777" w:rsidTr="00BB4FD4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1F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6 -2020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0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5 -2021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1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1 351 695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A622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55%</w:t>
            </w:r>
          </w:p>
        </w:tc>
      </w:tr>
      <w:tr w:rsidR="00B74800" w:rsidRPr="000F606D" w14:paraId="7552A628" w14:textId="77777777" w:rsidTr="00BB4FD4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4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6 -2021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5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5 -2022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6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1 837 432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A627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71%</w:t>
            </w:r>
          </w:p>
        </w:tc>
      </w:tr>
      <w:tr w:rsidR="00B74800" w:rsidRPr="000F606D" w14:paraId="7552A62D" w14:textId="77777777" w:rsidTr="00BB4FD4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9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6 -2022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A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5 -2023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B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2 599 227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A62C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101%</w:t>
            </w:r>
          </w:p>
        </w:tc>
      </w:tr>
      <w:tr w:rsidR="00B74800" w:rsidRPr="000F606D" w14:paraId="7552A632" w14:textId="77777777" w:rsidTr="00BB4FD4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E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6 -2023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2F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1-2024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30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1 037 970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A631" w14:textId="77777777" w:rsidR="000F606D" w:rsidRPr="00BB4FD4" w:rsidRDefault="000F606D" w:rsidP="000F6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B4FD4">
              <w:rPr>
                <w:rFonts w:ascii="Calibri" w:eastAsia="Times New Roman" w:hAnsi="Calibri" w:cs="Calibri"/>
                <w:lang w:eastAsia="cs-CZ"/>
              </w:rPr>
              <w:t>58%</w:t>
            </w:r>
          </w:p>
        </w:tc>
      </w:tr>
    </w:tbl>
    <w:p w14:paraId="7552A633" w14:textId="77777777" w:rsidR="00E76F45" w:rsidRPr="00E72C38" w:rsidRDefault="00E76F45" w:rsidP="00E72C38"/>
    <w:sectPr w:rsidR="00E76F45" w:rsidRPr="00E72C38" w:rsidSect="009617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77244" w14:textId="77777777" w:rsidR="009617DF" w:rsidRDefault="009617DF" w:rsidP="00AB5244">
      <w:r>
        <w:separator/>
      </w:r>
    </w:p>
  </w:endnote>
  <w:endnote w:type="continuationSeparator" w:id="0">
    <w:p w14:paraId="1711C4FF" w14:textId="77777777" w:rsidR="009617DF" w:rsidRDefault="009617DF" w:rsidP="00AB5244">
      <w:r>
        <w:continuationSeparator/>
      </w:r>
    </w:p>
  </w:endnote>
  <w:endnote w:type="continuationNotice" w:id="1">
    <w:p w14:paraId="05ECA26E" w14:textId="77777777" w:rsidR="009617DF" w:rsidRDefault="00961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A63C" w14:textId="77777777" w:rsidR="00344660" w:rsidRDefault="00344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A63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="00DC398D"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="00DC398D" w:rsidRPr="00A26900">
      <w:rPr>
        <w:noProof/>
        <w:sz w:val="18"/>
        <w:lang w:eastAsia="cs-CZ"/>
      </w:rPr>
      <w:fldChar w:fldCharType="separate"/>
    </w:r>
    <w:r w:rsidR="00927095">
      <w:rPr>
        <w:noProof/>
        <w:sz w:val="18"/>
        <w:lang w:eastAsia="cs-CZ"/>
      </w:rPr>
      <w:t>2</w:t>
    </w:r>
    <w:r w:rsidR="00DC398D"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="001A46B6">
      <w:fldChar w:fldCharType="begin"/>
    </w:r>
    <w:r w:rsidR="001A46B6">
      <w:instrText xml:space="preserve"> NUMPAGES   \* MERGEFORMAT </w:instrText>
    </w:r>
    <w:r w:rsidR="001A46B6">
      <w:fldChar w:fldCharType="separate"/>
    </w:r>
    <w:r w:rsidR="00927095" w:rsidRPr="00927095">
      <w:rPr>
        <w:noProof/>
        <w:sz w:val="18"/>
        <w:lang w:eastAsia="cs-CZ"/>
      </w:rPr>
      <w:t>3</w:t>
    </w:r>
    <w:r w:rsidR="001A46B6">
      <w:rPr>
        <w:noProof/>
        <w:sz w:val="18"/>
        <w:lang w:eastAsia="cs-CZ"/>
      </w:rPr>
      <w:fldChar w:fldCharType="end"/>
    </w:r>
  </w:p>
  <w:p w14:paraId="7552A63E" w14:textId="77777777" w:rsidR="00176138" w:rsidRDefault="00441CFF" w:rsidP="00AB5244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A642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552A645" wp14:editId="7552A646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93DB" w14:textId="77777777" w:rsidR="009617DF" w:rsidRDefault="009617DF" w:rsidP="00AB5244">
      <w:r>
        <w:separator/>
      </w:r>
    </w:p>
  </w:footnote>
  <w:footnote w:type="continuationSeparator" w:id="0">
    <w:p w14:paraId="5ECFA4EE" w14:textId="77777777" w:rsidR="009617DF" w:rsidRDefault="009617DF" w:rsidP="00AB5244">
      <w:r>
        <w:continuationSeparator/>
      </w:r>
    </w:p>
  </w:footnote>
  <w:footnote w:type="continuationNotice" w:id="1">
    <w:p w14:paraId="4D235D54" w14:textId="77777777" w:rsidR="009617DF" w:rsidRDefault="00961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A63A" w14:textId="77777777" w:rsidR="00344660" w:rsidRDefault="00344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A63B" w14:textId="77777777" w:rsidR="00344660" w:rsidRDefault="003446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A63F" w14:textId="77777777" w:rsidR="00E76F45" w:rsidRDefault="0075373F" w:rsidP="00E76F45">
    <w:pPr>
      <w:pStyle w:val="Zhlav"/>
      <w:spacing w:after="0"/>
      <w:jc w:val="right"/>
      <w:rPr>
        <w:rFonts w:ascii="Arial" w:hAnsi="Arial" w:cs="Arial"/>
        <w:bCs/>
        <w:sz w:val="2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552A643" wp14:editId="7552A644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5" name="Obrázek 15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6F45" w:rsidRPr="00E76F45">
      <w:t xml:space="preserve"> </w:t>
    </w:r>
    <w:r w:rsidR="002D4D58">
      <w:t>Pojištění majetku, odpovědnosti a motorových vozidel</w:t>
    </w:r>
  </w:p>
  <w:p w14:paraId="7552A640" w14:textId="77777777" w:rsidR="00E76F45" w:rsidRPr="00E76F45" w:rsidRDefault="00E76F45" w:rsidP="00E76F45">
    <w:pPr>
      <w:pStyle w:val="Zhlav"/>
      <w:jc w:val="right"/>
    </w:pPr>
    <w:r w:rsidRPr="00E76F45">
      <w:t xml:space="preserve">Příloha č. </w:t>
    </w:r>
    <w:r w:rsidR="006A3DD8">
      <w:t>8B – Doplňující informace – Část B</w:t>
    </w:r>
  </w:p>
  <w:p w14:paraId="7552A641" w14:textId="77777777" w:rsidR="001A6587" w:rsidRPr="00A70FDE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ACA25DA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auto"/>
        <w:sz w:val="28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4525135">
    <w:abstractNumId w:val="5"/>
  </w:num>
  <w:num w:numId="2" w16cid:durableId="2036997204">
    <w:abstractNumId w:val="7"/>
  </w:num>
  <w:num w:numId="3" w16cid:durableId="1031610359">
    <w:abstractNumId w:val="30"/>
  </w:num>
  <w:num w:numId="4" w16cid:durableId="1050573143">
    <w:abstractNumId w:val="6"/>
  </w:num>
  <w:num w:numId="5" w16cid:durableId="941260583">
    <w:abstractNumId w:val="14"/>
  </w:num>
  <w:num w:numId="6" w16cid:durableId="218126590">
    <w:abstractNumId w:val="2"/>
  </w:num>
  <w:num w:numId="7" w16cid:durableId="1359308903">
    <w:abstractNumId w:val="10"/>
  </w:num>
  <w:num w:numId="8" w16cid:durableId="1388995102">
    <w:abstractNumId w:val="29"/>
  </w:num>
  <w:num w:numId="9" w16cid:durableId="61561881">
    <w:abstractNumId w:val="13"/>
  </w:num>
  <w:num w:numId="10" w16cid:durableId="690762233">
    <w:abstractNumId w:val="0"/>
  </w:num>
  <w:num w:numId="11" w16cid:durableId="549154558">
    <w:abstractNumId w:val="21"/>
  </w:num>
  <w:num w:numId="12" w16cid:durableId="603611477">
    <w:abstractNumId w:val="18"/>
  </w:num>
  <w:num w:numId="13" w16cid:durableId="775058825">
    <w:abstractNumId w:val="28"/>
  </w:num>
  <w:num w:numId="14" w16cid:durableId="1537506767">
    <w:abstractNumId w:val="4"/>
  </w:num>
  <w:num w:numId="15" w16cid:durableId="618755768">
    <w:abstractNumId w:val="19"/>
  </w:num>
  <w:num w:numId="16" w16cid:durableId="476999386">
    <w:abstractNumId w:val="12"/>
  </w:num>
  <w:num w:numId="17" w16cid:durableId="1674145080">
    <w:abstractNumId w:val="24"/>
  </w:num>
  <w:num w:numId="18" w16cid:durableId="1150559208">
    <w:abstractNumId w:val="24"/>
    <w:lvlOverride w:ilvl="0">
      <w:startOverride w:val="1"/>
    </w:lvlOverride>
  </w:num>
  <w:num w:numId="19" w16cid:durableId="1972326992">
    <w:abstractNumId w:val="24"/>
    <w:lvlOverride w:ilvl="0">
      <w:startOverride w:val="1"/>
    </w:lvlOverride>
  </w:num>
  <w:num w:numId="20" w16cid:durableId="1158498555">
    <w:abstractNumId w:val="24"/>
    <w:lvlOverride w:ilvl="0">
      <w:startOverride w:val="1"/>
    </w:lvlOverride>
  </w:num>
  <w:num w:numId="21" w16cid:durableId="418448540">
    <w:abstractNumId w:val="24"/>
    <w:lvlOverride w:ilvl="0">
      <w:startOverride w:val="1"/>
    </w:lvlOverride>
  </w:num>
  <w:num w:numId="22" w16cid:durableId="845247457">
    <w:abstractNumId w:val="15"/>
  </w:num>
  <w:num w:numId="23" w16cid:durableId="448666821">
    <w:abstractNumId w:val="8"/>
  </w:num>
  <w:num w:numId="24" w16cid:durableId="2111510133">
    <w:abstractNumId w:val="11"/>
  </w:num>
  <w:num w:numId="25" w16cid:durableId="1084765042">
    <w:abstractNumId w:val="24"/>
    <w:lvlOverride w:ilvl="0">
      <w:startOverride w:val="1"/>
    </w:lvlOverride>
  </w:num>
  <w:num w:numId="26" w16cid:durableId="2099675027">
    <w:abstractNumId w:val="24"/>
    <w:lvlOverride w:ilvl="0">
      <w:startOverride w:val="1"/>
    </w:lvlOverride>
  </w:num>
  <w:num w:numId="27" w16cid:durableId="1934238100">
    <w:abstractNumId w:val="16"/>
  </w:num>
  <w:num w:numId="28" w16cid:durableId="1618633632">
    <w:abstractNumId w:val="17"/>
  </w:num>
  <w:num w:numId="29" w16cid:durableId="2041129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0230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7110868">
    <w:abstractNumId w:val="27"/>
  </w:num>
  <w:num w:numId="32" w16cid:durableId="1590195451">
    <w:abstractNumId w:val="22"/>
  </w:num>
  <w:num w:numId="33" w16cid:durableId="1407530757">
    <w:abstractNumId w:val="3"/>
  </w:num>
  <w:num w:numId="34" w16cid:durableId="52429312">
    <w:abstractNumId w:val="1"/>
  </w:num>
  <w:num w:numId="35" w16cid:durableId="39981171">
    <w:abstractNumId w:val="25"/>
  </w:num>
  <w:num w:numId="36" w16cid:durableId="67462931">
    <w:abstractNumId w:val="33"/>
  </w:num>
  <w:num w:numId="37" w16cid:durableId="1565410470">
    <w:abstractNumId w:val="31"/>
  </w:num>
  <w:num w:numId="38" w16cid:durableId="533424163">
    <w:abstractNumId w:val="26"/>
  </w:num>
  <w:num w:numId="39" w16cid:durableId="195849015">
    <w:abstractNumId w:val="32"/>
  </w:num>
  <w:num w:numId="40" w16cid:durableId="1011025014">
    <w:abstractNumId w:val="9"/>
  </w:num>
  <w:num w:numId="41" w16cid:durableId="224150715">
    <w:abstractNumId w:val="23"/>
  </w:num>
  <w:num w:numId="42" w16cid:durableId="942493240">
    <w:abstractNumId w:val="20"/>
  </w:num>
  <w:num w:numId="43" w16cid:durableId="1903055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0F2F"/>
    <w:rsid w:val="000A31A0"/>
    <w:rsid w:val="000A5EE1"/>
    <w:rsid w:val="000C4378"/>
    <w:rsid w:val="000C4AE5"/>
    <w:rsid w:val="000D5DFE"/>
    <w:rsid w:val="000F606D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1F54C7"/>
    <w:rsid w:val="002100C5"/>
    <w:rsid w:val="00213259"/>
    <w:rsid w:val="00222D77"/>
    <w:rsid w:val="00235DA5"/>
    <w:rsid w:val="00253100"/>
    <w:rsid w:val="00253A94"/>
    <w:rsid w:val="002A70F1"/>
    <w:rsid w:val="002D4D58"/>
    <w:rsid w:val="002E5DE9"/>
    <w:rsid w:val="002F2145"/>
    <w:rsid w:val="00324A55"/>
    <w:rsid w:val="00344660"/>
    <w:rsid w:val="00345DEC"/>
    <w:rsid w:val="00350FF2"/>
    <w:rsid w:val="00351071"/>
    <w:rsid w:val="003515C6"/>
    <w:rsid w:val="00385535"/>
    <w:rsid w:val="00386AD5"/>
    <w:rsid w:val="003C2587"/>
    <w:rsid w:val="003D2553"/>
    <w:rsid w:val="003D2D6D"/>
    <w:rsid w:val="003E688C"/>
    <w:rsid w:val="003F7863"/>
    <w:rsid w:val="004162EA"/>
    <w:rsid w:val="004204A9"/>
    <w:rsid w:val="004227F2"/>
    <w:rsid w:val="00424176"/>
    <w:rsid w:val="00426107"/>
    <w:rsid w:val="00441CFF"/>
    <w:rsid w:val="00443ECD"/>
    <w:rsid w:val="00453D8C"/>
    <w:rsid w:val="004552C5"/>
    <w:rsid w:val="00470C1D"/>
    <w:rsid w:val="00475856"/>
    <w:rsid w:val="00486BC9"/>
    <w:rsid w:val="004B2D4A"/>
    <w:rsid w:val="004B346C"/>
    <w:rsid w:val="004E24C7"/>
    <w:rsid w:val="004E293C"/>
    <w:rsid w:val="004E4B12"/>
    <w:rsid w:val="00501A4E"/>
    <w:rsid w:val="00512D4D"/>
    <w:rsid w:val="0052714E"/>
    <w:rsid w:val="005F4164"/>
    <w:rsid w:val="006006C0"/>
    <w:rsid w:val="00604BF6"/>
    <w:rsid w:val="0062108F"/>
    <w:rsid w:val="00633F51"/>
    <w:rsid w:val="00662E25"/>
    <w:rsid w:val="006640FC"/>
    <w:rsid w:val="00686353"/>
    <w:rsid w:val="006A176B"/>
    <w:rsid w:val="006A3DD8"/>
    <w:rsid w:val="006B2239"/>
    <w:rsid w:val="006C2036"/>
    <w:rsid w:val="006C5417"/>
    <w:rsid w:val="006D3BA3"/>
    <w:rsid w:val="006F1450"/>
    <w:rsid w:val="006F4127"/>
    <w:rsid w:val="00705276"/>
    <w:rsid w:val="0070569C"/>
    <w:rsid w:val="00705EE1"/>
    <w:rsid w:val="00710FB1"/>
    <w:rsid w:val="00721D71"/>
    <w:rsid w:val="00744C8C"/>
    <w:rsid w:val="0075373F"/>
    <w:rsid w:val="00761978"/>
    <w:rsid w:val="0077207E"/>
    <w:rsid w:val="007876F6"/>
    <w:rsid w:val="007D169C"/>
    <w:rsid w:val="007D5B70"/>
    <w:rsid w:val="00813F66"/>
    <w:rsid w:val="008207A0"/>
    <w:rsid w:val="008276DB"/>
    <w:rsid w:val="00845A22"/>
    <w:rsid w:val="00860591"/>
    <w:rsid w:val="00860FE3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27095"/>
    <w:rsid w:val="00943F97"/>
    <w:rsid w:val="009617DF"/>
    <w:rsid w:val="00981341"/>
    <w:rsid w:val="009A5DED"/>
    <w:rsid w:val="009B0E1D"/>
    <w:rsid w:val="009D792C"/>
    <w:rsid w:val="009F13A8"/>
    <w:rsid w:val="009F5050"/>
    <w:rsid w:val="00A10B35"/>
    <w:rsid w:val="00A26900"/>
    <w:rsid w:val="00A359A9"/>
    <w:rsid w:val="00A70FDE"/>
    <w:rsid w:val="00A71357"/>
    <w:rsid w:val="00A95535"/>
    <w:rsid w:val="00AA106B"/>
    <w:rsid w:val="00AB5244"/>
    <w:rsid w:val="00AC2BCB"/>
    <w:rsid w:val="00AC3861"/>
    <w:rsid w:val="00AC56B0"/>
    <w:rsid w:val="00AF150D"/>
    <w:rsid w:val="00AF2094"/>
    <w:rsid w:val="00B316EC"/>
    <w:rsid w:val="00B4678C"/>
    <w:rsid w:val="00B547E6"/>
    <w:rsid w:val="00B555F4"/>
    <w:rsid w:val="00B74800"/>
    <w:rsid w:val="00B858BF"/>
    <w:rsid w:val="00B90A53"/>
    <w:rsid w:val="00B93CCC"/>
    <w:rsid w:val="00B949B1"/>
    <w:rsid w:val="00BB4FD4"/>
    <w:rsid w:val="00BB57A4"/>
    <w:rsid w:val="00BC7507"/>
    <w:rsid w:val="00BE4D3C"/>
    <w:rsid w:val="00BE4D5D"/>
    <w:rsid w:val="00BF0C7D"/>
    <w:rsid w:val="00BF169E"/>
    <w:rsid w:val="00BF6713"/>
    <w:rsid w:val="00C22DA8"/>
    <w:rsid w:val="00C3437F"/>
    <w:rsid w:val="00C446B1"/>
    <w:rsid w:val="00C5122E"/>
    <w:rsid w:val="00CA3499"/>
    <w:rsid w:val="00CB292B"/>
    <w:rsid w:val="00CB41A7"/>
    <w:rsid w:val="00CE6D54"/>
    <w:rsid w:val="00D12E21"/>
    <w:rsid w:val="00D23BB3"/>
    <w:rsid w:val="00D311F9"/>
    <w:rsid w:val="00D67C1A"/>
    <w:rsid w:val="00D77874"/>
    <w:rsid w:val="00D9138F"/>
    <w:rsid w:val="00DB391A"/>
    <w:rsid w:val="00DB3FEC"/>
    <w:rsid w:val="00DC2126"/>
    <w:rsid w:val="00DC398D"/>
    <w:rsid w:val="00DD2A54"/>
    <w:rsid w:val="00DD42A9"/>
    <w:rsid w:val="00DD5531"/>
    <w:rsid w:val="00DD765D"/>
    <w:rsid w:val="00DF5F7C"/>
    <w:rsid w:val="00E070D7"/>
    <w:rsid w:val="00E3469D"/>
    <w:rsid w:val="00E4498D"/>
    <w:rsid w:val="00E46F8D"/>
    <w:rsid w:val="00E72C38"/>
    <w:rsid w:val="00E76F45"/>
    <w:rsid w:val="00E92B40"/>
    <w:rsid w:val="00EA4C36"/>
    <w:rsid w:val="00EB483A"/>
    <w:rsid w:val="00EB5E75"/>
    <w:rsid w:val="00ED04D4"/>
    <w:rsid w:val="00EE4339"/>
    <w:rsid w:val="00EF5B20"/>
    <w:rsid w:val="00F015C1"/>
    <w:rsid w:val="00F01FF1"/>
    <w:rsid w:val="00F1433B"/>
    <w:rsid w:val="00F153CF"/>
    <w:rsid w:val="00F4248A"/>
    <w:rsid w:val="00F55AD8"/>
    <w:rsid w:val="00F7013C"/>
    <w:rsid w:val="00F83773"/>
    <w:rsid w:val="00F93F58"/>
    <w:rsid w:val="00FC3674"/>
    <w:rsid w:val="00FD129A"/>
    <w:rsid w:val="00FF066F"/>
    <w:rsid w:val="00FF1607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A5F4"/>
  <w15:docId w15:val="{1091EAAC-1F55-4935-B321-51DD4D6D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3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Props1.xml><?xml version="1.0" encoding="utf-8"?>
<ds:datastoreItem xmlns:ds="http://schemas.openxmlformats.org/officeDocument/2006/customXml" ds:itemID="{8BA7F58D-F332-4584-84EF-B9E42870A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Monika Poslová, Silnice LK a.s.</cp:lastModifiedBy>
  <cp:revision>20</cp:revision>
  <cp:lastPrinted>2019-11-29T10:02:00Z</cp:lastPrinted>
  <dcterms:created xsi:type="dcterms:W3CDTF">2024-02-06T20:20:00Z</dcterms:created>
  <dcterms:modified xsi:type="dcterms:W3CDTF">2024-04-15T14:46:00Z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