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0246E" w14:textId="77777777" w:rsidR="005D3649" w:rsidRPr="0070296E" w:rsidRDefault="005D3649" w:rsidP="00F03560">
      <w:pPr>
        <w:pStyle w:val="Nadpis2"/>
        <w:rPr>
          <w:b w:val="0"/>
          <w:lang w:val="en-GB"/>
        </w:rPr>
      </w:pPr>
      <w:bookmarkStart w:id="0" w:name="_Toc158641546"/>
      <w:r w:rsidRPr="0070296E">
        <w:rPr>
          <w:lang w:val="en-GB"/>
        </w:rPr>
        <w:t>F</w:t>
      </w:r>
      <w:bookmarkEnd w:id="0"/>
      <w:r w:rsidRPr="0070296E">
        <w:rPr>
          <w:lang w:val="en-GB"/>
        </w:rPr>
        <w:t>IELD OF APPLICATION</w:t>
      </w:r>
    </w:p>
    <w:p w14:paraId="1A1C4AC1" w14:textId="12F21EDC" w:rsidR="005D3649" w:rsidRPr="00FB10BB" w:rsidRDefault="005D3649" w:rsidP="00F03560">
      <w:pPr>
        <w:pStyle w:val="Text"/>
        <w:rPr>
          <w:lang w:val="en-GB"/>
        </w:rPr>
      </w:pPr>
      <w:r w:rsidRPr="00FB10BB">
        <w:rPr>
          <w:lang w:val="en-GB"/>
        </w:rPr>
        <w:t xml:space="preserve">This technical specification is valid for all deliveries of aluminium peeled round </w:t>
      </w:r>
      <w:r w:rsidR="00BA6F6C">
        <w:rPr>
          <w:lang w:val="en-GB"/>
        </w:rPr>
        <w:t>billet</w:t>
      </w:r>
      <w:r w:rsidRPr="00FB10BB">
        <w:rPr>
          <w:lang w:val="en-GB"/>
        </w:rPr>
        <w:t xml:space="preserve">s </w:t>
      </w:r>
      <w:r w:rsidRPr="00FB10BB">
        <w:rPr>
          <w:rFonts w:ascii="Cambria Math" w:hAnsi="Cambria Math" w:cs="Cambria Math"/>
          <w:lang w:val="en-GB"/>
        </w:rPr>
        <w:t>⌀</w:t>
      </w:r>
      <w:r w:rsidR="00FB10BB" w:rsidRPr="00FB10BB">
        <w:rPr>
          <w:lang w:val="en-GB"/>
        </w:rPr>
        <w:t>4</w:t>
      </w:r>
      <w:r w:rsidR="000F3130">
        <w:rPr>
          <w:lang w:val="en-GB"/>
        </w:rPr>
        <w:t>0</w:t>
      </w:r>
      <w:r w:rsidRPr="00FB10BB">
        <w:rPr>
          <w:lang w:val="en-GB"/>
        </w:rPr>
        <w:t>–</w:t>
      </w:r>
      <w:r w:rsidRPr="00FB10BB">
        <w:rPr>
          <w:rFonts w:ascii="Cambria Math" w:hAnsi="Cambria Math" w:cs="Cambria Math"/>
          <w:lang w:val="en-GB"/>
        </w:rPr>
        <w:t>⌀</w:t>
      </w:r>
      <w:r w:rsidRPr="00FB10BB">
        <w:rPr>
          <w:lang w:val="en-GB"/>
        </w:rPr>
        <w:t>1</w:t>
      </w:r>
      <w:r w:rsidR="00F44649">
        <w:rPr>
          <w:lang w:val="en-GB"/>
        </w:rPr>
        <w:t>2</w:t>
      </w:r>
      <w:r w:rsidR="000F3130">
        <w:rPr>
          <w:lang w:val="en-GB"/>
        </w:rPr>
        <w:t>45</w:t>
      </w:r>
      <w:r w:rsidRPr="00FB10BB">
        <w:rPr>
          <w:lang w:val="en-GB"/>
        </w:rPr>
        <w:t xml:space="preserve"> mm.</w:t>
      </w:r>
    </w:p>
    <w:p w14:paraId="3EFF37AD" w14:textId="77777777" w:rsidR="005D3649" w:rsidRPr="0070296E" w:rsidRDefault="005D3649" w:rsidP="00F03560">
      <w:pPr>
        <w:pStyle w:val="Nadpis2"/>
        <w:rPr>
          <w:lang w:val="en-GB"/>
        </w:rPr>
      </w:pPr>
      <w:r w:rsidRPr="0070296E">
        <w:rPr>
          <w:lang w:val="en-GB"/>
        </w:rPr>
        <w:t>DISPATCH, DELIVERY, MATERIAL IDENTIFICATION</w:t>
      </w:r>
    </w:p>
    <w:p w14:paraId="6007B852" w14:textId="454ABFCD" w:rsidR="005D3649" w:rsidRPr="00FB10BB" w:rsidRDefault="005D3649" w:rsidP="005D3649">
      <w:pPr>
        <w:spacing w:before="120" w:after="60"/>
        <w:jc w:val="both"/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Each </w:t>
      </w:r>
      <w:r w:rsidRPr="00FB10BB">
        <w:rPr>
          <w:szCs w:val="22"/>
          <w:lang w:val="en-GB"/>
        </w:rPr>
        <w:t>shipping box (max.: 1</w:t>
      </w:r>
      <w:r w:rsidR="001425CE">
        <w:rPr>
          <w:szCs w:val="22"/>
          <w:lang w:val="en-GB"/>
        </w:rPr>
        <w:t>65</w:t>
      </w:r>
      <w:r w:rsidRPr="00FB10BB">
        <w:rPr>
          <w:szCs w:val="22"/>
          <w:lang w:val="en-GB"/>
        </w:rPr>
        <w:t>0 kg) is identified by:</w:t>
      </w:r>
    </w:p>
    <w:p w14:paraId="2C3C67E4" w14:textId="77777777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Its individual ID (number)</w:t>
      </w:r>
    </w:p>
    <w:p w14:paraId="246A5957" w14:textId="32B43D1F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 xml:space="preserve">The number of </w:t>
      </w:r>
      <w:r w:rsidR="00BA6F6C">
        <w:rPr>
          <w:szCs w:val="22"/>
          <w:lang w:val="en-GB"/>
        </w:rPr>
        <w:t>billet</w:t>
      </w:r>
      <w:r w:rsidRPr="00FB10BB">
        <w:rPr>
          <w:szCs w:val="22"/>
          <w:lang w:val="en-GB"/>
        </w:rPr>
        <w:t>s (chronological order according to production)</w:t>
      </w:r>
    </w:p>
    <w:p w14:paraId="1EF22B56" w14:textId="6B8B0DDC" w:rsidR="00FB10BB" w:rsidRPr="00FB10BB" w:rsidRDefault="00FB10BB" w:rsidP="00FB10BB">
      <w:p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 xml:space="preserve">Each </w:t>
      </w:r>
      <w:r w:rsidR="00BA6F6C">
        <w:rPr>
          <w:szCs w:val="22"/>
          <w:lang w:val="en-GB"/>
        </w:rPr>
        <w:t>billet</w:t>
      </w:r>
      <w:r w:rsidRPr="00FB10BB">
        <w:rPr>
          <w:szCs w:val="22"/>
          <w:lang w:val="en-GB"/>
        </w:rPr>
        <w:t xml:space="preserve"> is identified by:</w:t>
      </w:r>
    </w:p>
    <w:p w14:paraId="4B7535B8" w14:textId="77777777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The diameter</w:t>
      </w:r>
    </w:p>
    <w:p w14:paraId="6A9AA583" w14:textId="77777777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The alloy/temper</w:t>
      </w:r>
    </w:p>
    <w:p w14:paraId="49CC9258" w14:textId="77777777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The date of production</w:t>
      </w:r>
    </w:p>
    <w:p w14:paraId="48170832" w14:textId="77777777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Production time</w:t>
      </w:r>
    </w:p>
    <w:p w14:paraId="36A231EB" w14:textId="7772C268" w:rsidR="00FB10BB" w:rsidRPr="00FB10BB" w:rsidRDefault="00FB10BB" w:rsidP="00FB10BB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FB10BB">
        <w:rPr>
          <w:szCs w:val="22"/>
          <w:lang w:val="en-GB"/>
        </w:rPr>
        <w:t>Strand number</w:t>
      </w:r>
    </w:p>
    <w:p w14:paraId="154094DA" w14:textId="7584E340" w:rsidR="005D3649" w:rsidRPr="00775263" w:rsidRDefault="005D3649" w:rsidP="005D3649">
      <w:p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 xml:space="preserve">Each </w:t>
      </w:r>
      <w:r w:rsidR="00053248">
        <w:rPr>
          <w:szCs w:val="22"/>
          <w:lang w:val="en-GB"/>
        </w:rPr>
        <w:t>batch</w:t>
      </w:r>
      <w:r w:rsidRPr="00775263">
        <w:rPr>
          <w:szCs w:val="22"/>
          <w:lang w:val="en-GB"/>
        </w:rPr>
        <w:t xml:space="preserve"> includes:</w:t>
      </w:r>
    </w:p>
    <w:p w14:paraId="6615B5BA" w14:textId="77777777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>Number of packed units (bundle/cassette; chronological order according to production)</w:t>
      </w:r>
    </w:p>
    <w:p w14:paraId="69E98DE4" w14:textId="14F41D12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 xml:space="preserve">Diameter of the </w:t>
      </w:r>
      <w:r w:rsidR="00BA6F6C">
        <w:rPr>
          <w:szCs w:val="22"/>
          <w:lang w:val="en-GB"/>
        </w:rPr>
        <w:t>billet</w:t>
      </w:r>
    </w:p>
    <w:p w14:paraId="3FF54C94" w14:textId="77777777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>Alloy</w:t>
      </w:r>
    </w:p>
    <w:p w14:paraId="4087A10F" w14:textId="77777777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>Date of production</w:t>
      </w:r>
    </w:p>
    <w:p w14:paraId="2E3A8761" w14:textId="77777777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>Production time</w:t>
      </w:r>
    </w:p>
    <w:p w14:paraId="5F1881FB" w14:textId="0D0B51A7" w:rsidR="00775263" w:rsidRPr="00775263" w:rsidRDefault="00775263" w:rsidP="00775263">
      <w:pPr>
        <w:pStyle w:val="Odstavecseseznamem"/>
        <w:numPr>
          <w:ilvl w:val="0"/>
          <w:numId w:val="8"/>
        </w:numPr>
        <w:spacing w:before="120" w:after="60"/>
        <w:jc w:val="both"/>
        <w:rPr>
          <w:szCs w:val="22"/>
          <w:lang w:val="en-GB"/>
        </w:rPr>
      </w:pPr>
      <w:r w:rsidRPr="00775263">
        <w:rPr>
          <w:szCs w:val="22"/>
          <w:lang w:val="en-GB"/>
        </w:rPr>
        <w:t>Strand numbers</w:t>
      </w:r>
    </w:p>
    <w:p w14:paraId="71A82648" w14:textId="0A784BA3" w:rsidR="00F03560" w:rsidRPr="00775263" w:rsidRDefault="005D3649" w:rsidP="00F03560">
      <w:pPr>
        <w:rPr>
          <w:lang w:val="en-GB"/>
        </w:rPr>
      </w:pPr>
      <w:r w:rsidRPr="00775263">
        <w:rPr>
          <w:lang w:val="en-GB"/>
        </w:rPr>
        <w:t xml:space="preserve">The inspection and delivery of the </w:t>
      </w:r>
      <w:r w:rsidR="00BA6F6C">
        <w:rPr>
          <w:lang w:val="en-GB"/>
        </w:rPr>
        <w:t>billet</w:t>
      </w:r>
      <w:r w:rsidRPr="00775263">
        <w:rPr>
          <w:lang w:val="en-GB"/>
        </w:rPr>
        <w:t xml:space="preserve">s </w:t>
      </w:r>
      <w:proofErr w:type="gramStart"/>
      <w:r w:rsidRPr="00775263">
        <w:rPr>
          <w:lang w:val="en-GB"/>
        </w:rPr>
        <w:t>have to</w:t>
      </w:r>
      <w:proofErr w:type="gramEnd"/>
      <w:r w:rsidRPr="00775263">
        <w:rPr>
          <w:lang w:val="en-GB"/>
        </w:rPr>
        <w:t xml:space="preserve"> be carried out for each batch ID separately</w:t>
      </w:r>
      <w:r w:rsidR="00F03560" w:rsidRPr="00775263">
        <w:rPr>
          <w:lang w:val="en-GB"/>
        </w:rPr>
        <w:t>.</w:t>
      </w:r>
    </w:p>
    <w:p w14:paraId="73F5EBC6" w14:textId="00C71CCA" w:rsidR="00B110D7" w:rsidRPr="0070296E" w:rsidRDefault="00B110D7" w:rsidP="00F03560">
      <w:pPr>
        <w:rPr>
          <w:color w:val="FF0000"/>
          <w:lang w:val="en-GB"/>
        </w:rPr>
      </w:pPr>
      <w:r w:rsidRPr="0070296E">
        <w:rPr>
          <w:lang w:val="en-GB"/>
        </w:rPr>
        <w:br w:type="page"/>
      </w:r>
    </w:p>
    <w:p w14:paraId="68D9D329" w14:textId="77777777" w:rsidR="00B110D7" w:rsidRPr="0070296E" w:rsidRDefault="00B110D7" w:rsidP="00F03560">
      <w:pPr>
        <w:pStyle w:val="Nadpis2"/>
        <w:rPr>
          <w:lang w:val="en-GB"/>
        </w:rPr>
      </w:pPr>
      <w:r w:rsidRPr="0070296E">
        <w:rPr>
          <w:lang w:val="en-GB"/>
        </w:rPr>
        <w:lastRenderedPageBreak/>
        <w:t>TECHNICAL DEMANDS</w:t>
      </w:r>
    </w:p>
    <w:p w14:paraId="01112559" w14:textId="1E36252E" w:rsidR="00B110D7" w:rsidRPr="00775263" w:rsidRDefault="00B110D7" w:rsidP="00F03560">
      <w:pPr>
        <w:pStyle w:val="Nadpis3"/>
        <w:rPr>
          <w:b w:val="0"/>
          <w:color w:val="FF0000"/>
          <w:lang w:val="en-GB"/>
        </w:rPr>
      </w:pPr>
      <w:r w:rsidRPr="0070296E">
        <w:rPr>
          <w:lang w:val="en-GB"/>
        </w:rPr>
        <w:t>Chemical composition</w:t>
      </w:r>
    </w:p>
    <w:p w14:paraId="0BD0C8D1" w14:textId="5128B02F" w:rsidR="00B110D7" w:rsidRPr="00775263" w:rsidRDefault="00B110D7" w:rsidP="00F03560">
      <w:pPr>
        <w:pStyle w:val="Titulek"/>
        <w:rPr>
          <w:lang w:val="en-GB"/>
        </w:rPr>
      </w:pPr>
      <w:r w:rsidRPr="00775263">
        <w:rPr>
          <w:lang w:val="en-GB"/>
        </w:rPr>
        <w:t xml:space="preserve">Table </w:t>
      </w:r>
      <w:r w:rsidRPr="00775263">
        <w:rPr>
          <w:lang w:val="en-GB"/>
        </w:rPr>
        <w:fldChar w:fldCharType="begin"/>
      </w:r>
      <w:r w:rsidRPr="00775263">
        <w:rPr>
          <w:lang w:val="en-GB"/>
        </w:rPr>
        <w:instrText xml:space="preserve"> SEQ Tabulka \* ARABIC </w:instrText>
      </w:r>
      <w:r w:rsidRPr="00775263">
        <w:rPr>
          <w:lang w:val="en-GB"/>
        </w:rPr>
        <w:fldChar w:fldCharType="separate"/>
      </w:r>
      <w:r w:rsidR="00262270">
        <w:rPr>
          <w:noProof/>
          <w:lang w:val="en-GB"/>
        </w:rPr>
        <w:t>1</w:t>
      </w:r>
      <w:r w:rsidRPr="00775263">
        <w:rPr>
          <w:lang w:val="en-GB"/>
        </w:rPr>
        <w:fldChar w:fldCharType="end"/>
      </w:r>
      <w:r w:rsidRPr="00775263">
        <w:rPr>
          <w:lang w:val="en-GB"/>
        </w:rPr>
        <w:t xml:space="preserve"> </w:t>
      </w:r>
      <w:r w:rsidRPr="00775263">
        <w:rPr>
          <w:b w:val="0"/>
          <w:bCs/>
          <w:lang w:val="en-GB"/>
        </w:rPr>
        <w:t>Chemical composition of alloy 6082</w:t>
      </w:r>
    </w:p>
    <w:tbl>
      <w:tblPr>
        <w:tblStyle w:val="Mkatabulky"/>
        <w:tblW w:w="6825" w:type="dxa"/>
        <w:tblInd w:w="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1891"/>
        <w:gridCol w:w="567"/>
        <w:gridCol w:w="1525"/>
        <w:gridCol w:w="466"/>
        <w:gridCol w:w="1411"/>
      </w:tblGrid>
      <w:tr w:rsidR="00575374" w:rsidRPr="00775263" w14:paraId="4D6333F8" w14:textId="77777777" w:rsidTr="00575374">
        <w:tc>
          <w:tcPr>
            <w:tcW w:w="965" w:type="dxa"/>
          </w:tcPr>
          <w:p w14:paraId="63B4C32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Si:</w:t>
            </w:r>
          </w:p>
        </w:tc>
        <w:tc>
          <w:tcPr>
            <w:tcW w:w="1891" w:type="dxa"/>
          </w:tcPr>
          <w:p w14:paraId="28AEB496" w14:textId="38C00527" w:rsidR="00B110D7" w:rsidRPr="00775263" w:rsidRDefault="00B110D7" w:rsidP="00575374">
            <w:pPr>
              <w:jc w:val="right"/>
              <w:rPr>
                <w:sz w:val="18"/>
                <w:szCs w:val="18"/>
                <w:highlight w:val="yellow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1.</w:t>
            </w:r>
            <w:r w:rsidR="00705EAE">
              <w:rPr>
                <w:sz w:val="18"/>
                <w:szCs w:val="18"/>
                <w:lang w:val="en-GB" w:eastAsia="cs-CZ"/>
              </w:rPr>
              <w:t>2</w:t>
            </w:r>
            <w:r w:rsidRPr="00775263">
              <w:rPr>
                <w:sz w:val="18"/>
                <w:szCs w:val="18"/>
                <w:lang w:val="en-GB" w:eastAsia="cs-CZ"/>
              </w:rPr>
              <w:t>0–1.</w:t>
            </w:r>
            <w:r w:rsidR="00705EAE">
              <w:rPr>
                <w:sz w:val="18"/>
                <w:szCs w:val="18"/>
                <w:lang w:val="en-GB" w:eastAsia="cs-CZ"/>
              </w:rPr>
              <w:t>3</w:t>
            </w:r>
            <w:r w:rsidRPr="00775263">
              <w:rPr>
                <w:sz w:val="18"/>
                <w:szCs w:val="18"/>
                <w:lang w:val="en-GB" w:eastAsia="cs-CZ"/>
              </w:rPr>
              <w:t>0 %</w:t>
            </w:r>
          </w:p>
        </w:tc>
        <w:tc>
          <w:tcPr>
            <w:tcW w:w="567" w:type="dxa"/>
          </w:tcPr>
          <w:p w14:paraId="5152B20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Mn:</w:t>
            </w:r>
          </w:p>
        </w:tc>
        <w:tc>
          <w:tcPr>
            <w:tcW w:w="1525" w:type="dxa"/>
          </w:tcPr>
          <w:p w14:paraId="6C84F169" w14:textId="3A7601AD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</w:t>
            </w:r>
            <w:r w:rsidR="000E44E6">
              <w:rPr>
                <w:sz w:val="18"/>
                <w:szCs w:val="18"/>
                <w:lang w:val="en-GB" w:eastAsia="cs-CZ"/>
              </w:rPr>
              <w:t>75</w:t>
            </w:r>
            <w:r w:rsidRPr="00775263">
              <w:rPr>
                <w:sz w:val="18"/>
                <w:szCs w:val="18"/>
                <w:lang w:val="en-GB" w:eastAsia="cs-CZ"/>
              </w:rPr>
              <w:t>–0.</w:t>
            </w:r>
            <w:r w:rsidR="000E44E6">
              <w:rPr>
                <w:sz w:val="18"/>
                <w:szCs w:val="18"/>
                <w:lang w:val="en-GB" w:eastAsia="cs-CZ"/>
              </w:rPr>
              <w:t>9</w:t>
            </w:r>
            <w:r w:rsidRPr="00775263">
              <w:rPr>
                <w:sz w:val="18"/>
                <w:szCs w:val="18"/>
                <w:lang w:val="en-GB" w:eastAsia="cs-CZ"/>
              </w:rPr>
              <w:t>0 %</w:t>
            </w:r>
          </w:p>
        </w:tc>
        <w:tc>
          <w:tcPr>
            <w:tcW w:w="466" w:type="dxa"/>
          </w:tcPr>
          <w:p w14:paraId="432E49C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Zn:</w:t>
            </w:r>
          </w:p>
        </w:tc>
        <w:tc>
          <w:tcPr>
            <w:tcW w:w="1411" w:type="dxa"/>
          </w:tcPr>
          <w:p w14:paraId="61D1EC4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0.10 %</w:t>
            </w:r>
          </w:p>
        </w:tc>
      </w:tr>
      <w:tr w:rsidR="00575374" w:rsidRPr="00775263" w14:paraId="71E9ACB9" w14:textId="77777777" w:rsidTr="00575374">
        <w:tc>
          <w:tcPr>
            <w:tcW w:w="965" w:type="dxa"/>
          </w:tcPr>
          <w:p w14:paraId="71CD7D7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Fe:</w:t>
            </w:r>
          </w:p>
        </w:tc>
        <w:tc>
          <w:tcPr>
            <w:tcW w:w="1891" w:type="dxa"/>
          </w:tcPr>
          <w:p w14:paraId="73525BC6" w14:textId="77777777" w:rsidR="00B110D7" w:rsidRPr="00775263" w:rsidRDefault="00B110D7" w:rsidP="00575374">
            <w:pPr>
              <w:jc w:val="right"/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0.25 %</w:t>
            </w:r>
          </w:p>
        </w:tc>
        <w:tc>
          <w:tcPr>
            <w:tcW w:w="567" w:type="dxa"/>
          </w:tcPr>
          <w:p w14:paraId="3997A15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Mg:</w:t>
            </w:r>
          </w:p>
        </w:tc>
        <w:tc>
          <w:tcPr>
            <w:tcW w:w="1525" w:type="dxa"/>
          </w:tcPr>
          <w:p w14:paraId="09160597" w14:textId="59E0A35E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</w:t>
            </w:r>
            <w:r w:rsidR="000E44E6">
              <w:rPr>
                <w:sz w:val="18"/>
                <w:szCs w:val="18"/>
                <w:lang w:val="en-GB" w:eastAsia="cs-CZ"/>
              </w:rPr>
              <w:t>8</w:t>
            </w:r>
            <w:r w:rsidRPr="00775263">
              <w:rPr>
                <w:sz w:val="18"/>
                <w:szCs w:val="18"/>
                <w:lang w:val="en-GB" w:eastAsia="cs-CZ"/>
              </w:rPr>
              <w:t>0–0.</w:t>
            </w:r>
            <w:r w:rsidR="000E44E6">
              <w:rPr>
                <w:sz w:val="18"/>
                <w:szCs w:val="18"/>
                <w:lang w:val="en-GB" w:eastAsia="cs-CZ"/>
              </w:rPr>
              <w:t>90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  <w:tc>
          <w:tcPr>
            <w:tcW w:w="466" w:type="dxa"/>
          </w:tcPr>
          <w:p w14:paraId="2CE12A0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Ti:</w:t>
            </w:r>
          </w:p>
        </w:tc>
        <w:tc>
          <w:tcPr>
            <w:tcW w:w="1411" w:type="dxa"/>
          </w:tcPr>
          <w:p w14:paraId="55171767" w14:textId="41160953" w:rsidR="00B110D7" w:rsidRPr="00775263" w:rsidRDefault="0053599C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0,03-0,05</w:t>
            </w:r>
            <w:r w:rsidR="00B110D7"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</w:tr>
      <w:tr w:rsidR="00575374" w:rsidRPr="00775263" w14:paraId="691C9C09" w14:textId="77777777" w:rsidTr="00575374">
        <w:tc>
          <w:tcPr>
            <w:tcW w:w="965" w:type="dxa"/>
          </w:tcPr>
          <w:p w14:paraId="2C941B09" w14:textId="77777777" w:rsidR="00614DC2" w:rsidRPr="00775263" w:rsidRDefault="00614DC2" w:rsidP="00614DC2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Cu:</w:t>
            </w:r>
          </w:p>
        </w:tc>
        <w:tc>
          <w:tcPr>
            <w:tcW w:w="1891" w:type="dxa"/>
          </w:tcPr>
          <w:p w14:paraId="48DDFC6A" w14:textId="77777777" w:rsidR="00614DC2" w:rsidRPr="00775263" w:rsidRDefault="00614DC2" w:rsidP="00575374">
            <w:pPr>
              <w:jc w:val="right"/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0.05–0.10 %</w:t>
            </w:r>
          </w:p>
        </w:tc>
        <w:tc>
          <w:tcPr>
            <w:tcW w:w="567" w:type="dxa"/>
          </w:tcPr>
          <w:p w14:paraId="072947AD" w14:textId="77777777" w:rsidR="00614DC2" w:rsidRPr="00775263" w:rsidRDefault="00614DC2" w:rsidP="00614DC2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Cr:</w:t>
            </w:r>
          </w:p>
        </w:tc>
        <w:tc>
          <w:tcPr>
            <w:tcW w:w="1525" w:type="dxa"/>
          </w:tcPr>
          <w:p w14:paraId="55AF712B" w14:textId="2EB5E513" w:rsidR="00614DC2" w:rsidRPr="00775263" w:rsidRDefault="00614DC2" w:rsidP="00614DC2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0.1</w:t>
            </w:r>
            <w:r>
              <w:rPr>
                <w:sz w:val="18"/>
                <w:szCs w:val="18"/>
                <w:lang w:val="en-GB" w:eastAsia="cs-CZ"/>
              </w:rPr>
              <w:t>5</w:t>
            </w:r>
            <w:r w:rsidRPr="00775263">
              <w:rPr>
                <w:sz w:val="18"/>
                <w:szCs w:val="18"/>
                <w:lang w:val="en-GB" w:eastAsia="cs-CZ"/>
              </w:rPr>
              <w:t>–0.</w:t>
            </w:r>
            <w:r>
              <w:rPr>
                <w:sz w:val="18"/>
                <w:szCs w:val="18"/>
                <w:lang w:val="en-GB" w:eastAsia="cs-CZ"/>
              </w:rPr>
              <w:t>20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  <w:tc>
          <w:tcPr>
            <w:tcW w:w="466" w:type="dxa"/>
          </w:tcPr>
          <w:p w14:paraId="469556BD" w14:textId="66D608FF" w:rsidR="00614DC2" w:rsidRPr="00775263" w:rsidRDefault="00614DC2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Zr</w:t>
            </w:r>
            <w:r w:rsidRPr="00775263">
              <w:rPr>
                <w:sz w:val="18"/>
                <w:szCs w:val="18"/>
                <w:lang w:val="en-GB" w:eastAsia="cs-CZ"/>
              </w:rPr>
              <w:t>:</w:t>
            </w:r>
          </w:p>
        </w:tc>
        <w:tc>
          <w:tcPr>
            <w:tcW w:w="1411" w:type="dxa"/>
          </w:tcPr>
          <w:p w14:paraId="6A2D5B83" w14:textId="02ED6975" w:rsidR="00614DC2" w:rsidRPr="00775263" w:rsidRDefault="00AC2514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0,03-0,05</w:t>
            </w:r>
            <w:r w:rsidR="00614DC2"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</w:tr>
      <w:tr w:rsidR="00653FBC" w:rsidRPr="00775263" w14:paraId="60F00B23" w14:textId="77777777" w:rsidTr="00575374">
        <w:tc>
          <w:tcPr>
            <w:tcW w:w="2856" w:type="dxa"/>
            <w:gridSpan w:val="2"/>
          </w:tcPr>
          <w:p w14:paraId="1825A78D" w14:textId="05E571A5" w:rsidR="00653FBC" w:rsidRPr="00775263" w:rsidRDefault="00653FBC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Na</w:t>
            </w:r>
            <w:r w:rsidR="00171B1A">
              <w:rPr>
                <w:sz w:val="18"/>
                <w:szCs w:val="18"/>
                <w:lang w:val="en-GB" w:eastAsia="cs-CZ"/>
              </w:rPr>
              <w:t xml:space="preserve">, Ca </w:t>
            </w:r>
            <w:r w:rsidRPr="00775263">
              <w:rPr>
                <w:sz w:val="18"/>
                <w:szCs w:val="18"/>
                <w:lang w:val="en-GB" w:eastAsia="cs-CZ"/>
              </w:rPr>
              <w:t>max.</w:t>
            </w:r>
            <w:r w:rsidR="008A77BB">
              <w:rPr>
                <w:sz w:val="18"/>
                <w:szCs w:val="18"/>
                <w:lang w:val="en-GB" w:eastAsia="cs-CZ"/>
              </w:rPr>
              <w:t xml:space="preserve"> 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</w:t>
            </w:r>
            <w:r w:rsidR="00575374">
              <w:rPr>
                <w:sz w:val="18"/>
                <w:szCs w:val="18"/>
                <w:lang w:val="en-GB" w:eastAsia="cs-CZ"/>
              </w:rPr>
              <w:t xml:space="preserve">                </w:t>
            </w:r>
            <w:r w:rsidRPr="00775263">
              <w:rPr>
                <w:sz w:val="18"/>
                <w:szCs w:val="18"/>
                <w:lang w:val="en-GB" w:eastAsia="cs-CZ"/>
              </w:rPr>
              <w:t>0.0</w:t>
            </w:r>
            <w:r>
              <w:rPr>
                <w:sz w:val="18"/>
                <w:szCs w:val="18"/>
                <w:lang w:val="en-GB" w:eastAsia="cs-CZ"/>
              </w:rPr>
              <w:t>0</w:t>
            </w:r>
            <w:r w:rsidR="00D50E81">
              <w:rPr>
                <w:sz w:val="18"/>
                <w:szCs w:val="18"/>
                <w:lang w:val="en-GB" w:eastAsia="cs-CZ"/>
              </w:rPr>
              <w:t>08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  <w:tc>
          <w:tcPr>
            <w:tcW w:w="567" w:type="dxa"/>
          </w:tcPr>
          <w:p w14:paraId="77997F65" w14:textId="3FCF4D69" w:rsidR="00653FBC" w:rsidRPr="00775263" w:rsidRDefault="00653FBC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Pb</w:t>
            </w:r>
            <w:r w:rsidRPr="00775263">
              <w:rPr>
                <w:sz w:val="18"/>
                <w:szCs w:val="18"/>
                <w:lang w:val="en-GB" w:eastAsia="cs-CZ"/>
              </w:rPr>
              <w:t>:</w:t>
            </w:r>
          </w:p>
        </w:tc>
        <w:tc>
          <w:tcPr>
            <w:tcW w:w="1525" w:type="dxa"/>
          </w:tcPr>
          <w:p w14:paraId="56B94837" w14:textId="09292231" w:rsidR="00653FBC" w:rsidRPr="00775263" w:rsidRDefault="00653FBC" w:rsidP="00614DC2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</w:t>
            </w:r>
            <w:r>
              <w:rPr>
                <w:sz w:val="18"/>
                <w:szCs w:val="18"/>
                <w:lang w:val="en-GB" w:eastAsia="cs-CZ"/>
              </w:rPr>
              <w:t>065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%</w:t>
            </w:r>
          </w:p>
        </w:tc>
        <w:tc>
          <w:tcPr>
            <w:tcW w:w="466" w:type="dxa"/>
          </w:tcPr>
          <w:p w14:paraId="1D145002" w14:textId="59D41D43" w:rsidR="00653FBC" w:rsidRPr="00775263" w:rsidRDefault="00653FBC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B:</w:t>
            </w:r>
          </w:p>
        </w:tc>
        <w:tc>
          <w:tcPr>
            <w:tcW w:w="1411" w:type="dxa"/>
          </w:tcPr>
          <w:p w14:paraId="2F4E1107" w14:textId="09ABC86F" w:rsidR="00653FBC" w:rsidRPr="00775263" w:rsidRDefault="00653FBC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 xml:space="preserve">max. 0,0050% </w:t>
            </w:r>
          </w:p>
        </w:tc>
      </w:tr>
      <w:tr w:rsidR="00171B1A" w:rsidRPr="00775263" w14:paraId="690E600D" w14:textId="77777777" w:rsidTr="00575374">
        <w:tc>
          <w:tcPr>
            <w:tcW w:w="2856" w:type="dxa"/>
            <w:gridSpan w:val="2"/>
          </w:tcPr>
          <w:p w14:paraId="2E7F9ED9" w14:textId="56A7EAB1" w:rsidR="00171B1A" w:rsidRPr="00775263" w:rsidRDefault="00171B1A" w:rsidP="00614DC2">
            <w:pPr>
              <w:rPr>
                <w:sz w:val="18"/>
                <w:szCs w:val="18"/>
                <w:lang w:val="en-GB" w:eastAsia="cs-CZ"/>
              </w:rPr>
            </w:pPr>
            <w:r>
              <w:rPr>
                <w:sz w:val="18"/>
                <w:szCs w:val="18"/>
                <w:lang w:val="en-GB" w:eastAsia="cs-CZ"/>
              </w:rPr>
              <w:t>Cd, Bi, Sn, Sr</w:t>
            </w:r>
            <w:r w:rsidRPr="00775263">
              <w:rPr>
                <w:sz w:val="18"/>
                <w:szCs w:val="18"/>
                <w:lang w:val="en-GB" w:eastAsia="cs-CZ"/>
              </w:rPr>
              <w:t>:</w:t>
            </w:r>
            <w:r w:rsidR="008A77BB">
              <w:rPr>
                <w:sz w:val="18"/>
                <w:szCs w:val="18"/>
                <w:lang w:val="en-GB" w:eastAsia="cs-CZ"/>
              </w:rPr>
              <w:t xml:space="preserve"> </w:t>
            </w:r>
            <w:r w:rsidRPr="00775263">
              <w:rPr>
                <w:sz w:val="18"/>
                <w:szCs w:val="18"/>
                <w:lang w:val="en-GB" w:eastAsia="cs-CZ"/>
              </w:rPr>
              <w:t>max.</w:t>
            </w:r>
            <w:r w:rsidR="00575374">
              <w:rPr>
                <w:sz w:val="18"/>
                <w:szCs w:val="18"/>
                <w:lang w:val="en-GB" w:eastAsia="cs-CZ"/>
              </w:rPr>
              <w:t xml:space="preserve">     </w:t>
            </w:r>
            <w:r w:rsidRPr="00775263">
              <w:rPr>
                <w:sz w:val="18"/>
                <w:szCs w:val="18"/>
                <w:lang w:val="en-GB" w:eastAsia="cs-CZ"/>
              </w:rPr>
              <w:t xml:space="preserve"> 0.010 %</w:t>
            </w:r>
          </w:p>
        </w:tc>
        <w:tc>
          <w:tcPr>
            <w:tcW w:w="567" w:type="dxa"/>
          </w:tcPr>
          <w:p w14:paraId="70FDB648" w14:textId="77777777" w:rsidR="00171B1A" w:rsidRPr="00775263" w:rsidRDefault="00171B1A" w:rsidP="00614DC2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1525" w:type="dxa"/>
          </w:tcPr>
          <w:p w14:paraId="5046E4FC" w14:textId="77777777" w:rsidR="00171B1A" w:rsidRPr="00775263" w:rsidRDefault="00171B1A" w:rsidP="00614DC2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466" w:type="dxa"/>
          </w:tcPr>
          <w:p w14:paraId="4ACB8910" w14:textId="77777777" w:rsidR="00171B1A" w:rsidRPr="00775263" w:rsidRDefault="00171B1A" w:rsidP="00614DC2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1411" w:type="dxa"/>
          </w:tcPr>
          <w:p w14:paraId="7D560BC4" w14:textId="77777777" w:rsidR="00171B1A" w:rsidRPr="00775263" w:rsidRDefault="00171B1A" w:rsidP="00614DC2">
            <w:pPr>
              <w:rPr>
                <w:sz w:val="18"/>
                <w:szCs w:val="18"/>
                <w:lang w:val="en-GB" w:eastAsia="cs-CZ"/>
              </w:rPr>
            </w:pPr>
          </w:p>
        </w:tc>
      </w:tr>
    </w:tbl>
    <w:p w14:paraId="6787CAAE" w14:textId="77777777" w:rsidR="00B110D7" w:rsidRPr="00775263" w:rsidRDefault="00B110D7" w:rsidP="00B110D7">
      <w:pPr>
        <w:ind w:left="263"/>
        <w:rPr>
          <w:sz w:val="10"/>
          <w:szCs w:val="10"/>
          <w:lang w:val="en-GB" w:eastAsia="cs-CZ"/>
        </w:rPr>
      </w:pPr>
    </w:p>
    <w:p w14:paraId="5F776DFE" w14:textId="77777777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Other elements (each):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  <w:t>max. 0.05 %</w:t>
      </w:r>
    </w:p>
    <w:p w14:paraId="03C3A1FD" w14:textId="77777777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Other elements (total):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  <w:t>max. 0.15 %</w:t>
      </w:r>
    </w:p>
    <w:p w14:paraId="032A0BEE" w14:textId="26359858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H</w:t>
      </w:r>
      <w:r w:rsidRPr="00775263">
        <w:rPr>
          <w:sz w:val="18"/>
          <w:szCs w:val="18"/>
          <w:vertAlign w:val="subscript"/>
          <w:lang w:val="en-GB" w:eastAsia="cs-CZ"/>
        </w:rPr>
        <w:t>2</w:t>
      </w:r>
      <w:r w:rsidRPr="00775263">
        <w:rPr>
          <w:sz w:val="18"/>
          <w:szCs w:val="18"/>
          <w:lang w:val="en-GB" w:eastAsia="cs-CZ"/>
        </w:rPr>
        <w:t xml:space="preserve"> content: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</w:r>
      <w:r w:rsidRPr="006344AF">
        <w:rPr>
          <w:sz w:val="18"/>
          <w:szCs w:val="18"/>
          <w:lang w:val="en-GB" w:eastAsia="cs-CZ"/>
        </w:rPr>
        <w:t>max. 0.</w:t>
      </w:r>
      <w:r w:rsidR="006344AF">
        <w:rPr>
          <w:sz w:val="18"/>
          <w:szCs w:val="18"/>
          <w:lang w:val="en-GB" w:eastAsia="cs-CZ"/>
        </w:rPr>
        <w:t>1</w:t>
      </w:r>
      <w:r w:rsidR="00875586">
        <w:rPr>
          <w:sz w:val="18"/>
          <w:szCs w:val="18"/>
          <w:lang w:val="en-GB" w:eastAsia="cs-CZ"/>
        </w:rPr>
        <w:t>3</w:t>
      </w:r>
      <w:r w:rsidRPr="006344AF">
        <w:rPr>
          <w:sz w:val="18"/>
          <w:szCs w:val="18"/>
          <w:lang w:val="en-GB" w:eastAsia="cs-CZ"/>
        </w:rPr>
        <w:t xml:space="preserve"> </w:t>
      </w:r>
      <w:proofErr w:type="spellStart"/>
      <w:r w:rsidRPr="006344AF">
        <w:rPr>
          <w:sz w:val="18"/>
          <w:szCs w:val="18"/>
          <w:lang w:val="en-GB" w:eastAsia="cs-CZ"/>
        </w:rPr>
        <w:t>ccm</w:t>
      </w:r>
      <w:proofErr w:type="spellEnd"/>
      <w:r w:rsidRPr="006344AF">
        <w:rPr>
          <w:sz w:val="18"/>
          <w:szCs w:val="18"/>
          <w:lang w:val="en-GB" w:eastAsia="cs-CZ"/>
        </w:rPr>
        <w:t>/100g</w:t>
      </w:r>
    </w:p>
    <w:p w14:paraId="4F65755E" w14:textId="6B8B7F8B" w:rsidR="00B110D7" w:rsidRPr="00775263" w:rsidRDefault="00B110D7" w:rsidP="00F03560">
      <w:pPr>
        <w:pStyle w:val="Titulek"/>
        <w:rPr>
          <w:lang w:val="en-GB"/>
        </w:rPr>
      </w:pPr>
      <w:r w:rsidRPr="00775263">
        <w:rPr>
          <w:lang w:val="en-GB"/>
        </w:rPr>
        <w:t xml:space="preserve">Table </w:t>
      </w:r>
      <w:r w:rsidRPr="00775263">
        <w:rPr>
          <w:lang w:val="en-GB"/>
        </w:rPr>
        <w:fldChar w:fldCharType="begin"/>
      </w:r>
      <w:r w:rsidRPr="00775263">
        <w:rPr>
          <w:lang w:val="en-GB"/>
        </w:rPr>
        <w:instrText xml:space="preserve"> SEQ Tabulka \* ARABIC </w:instrText>
      </w:r>
      <w:r w:rsidRPr="00775263">
        <w:rPr>
          <w:lang w:val="en-GB"/>
        </w:rPr>
        <w:fldChar w:fldCharType="separate"/>
      </w:r>
      <w:r w:rsidR="00262270">
        <w:rPr>
          <w:noProof/>
          <w:lang w:val="en-GB"/>
        </w:rPr>
        <w:t>2</w:t>
      </w:r>
      <w:r w:rsidRPr="00775263">
        <w:rPr>
          <w:lang w:val="en-GB"/>
        </w:rPr>
        <w:fldChar w:fldCharType="end"/>
      </w:r>
      <w:r w:rsidRPr="00775263">
        <w:rPr>
          <w:lang w:val="en-GB"/>
        </w:rPr>
        <w:t xml:space="preserve"> </w:t>
      </w:r>
      <w:r w:rsidRPr="00775263">
        <w:rPr>
          <w:b w:val="0"/>
          <w:bCs/>
          <w:lang w:val="en-GB"/>
        </w:rPr>
        <w:t>Chemical composition of alloy 6110</w:t>
      </w:r>
    </w:p>
    <w:tbl>
      <w:tblPr>
        <w:tblStyle w:val="Mkatabulky"/>
        <w:tblW w:w="6379" w:type="dxa"/>
        <w:tblInd w:w="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59"/>
        <w:gridCol w:w="567"/>
        <w:gridCol w:w="1559"/>
        <w:gridCol w:w="567"/>
        <w:gridCol w:w="1560"/>
      </w:tblGrid>
      <w:tr w:rsidR="00775263" w:rsidRPr="00775263" w14:paraId="31F0C7CA" w14:textId="77777777">
        <w:tc>
          <w:tcPr>
            <w:tcW w:w="567" w:type="dxa"/>
          </w:tcPr>
          <w:p w14:paraId="02546D6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Si:</w:t>
            </w:r>
          </w:p>
        </w:tc>
        <w:tc>
          <w:tcPr>
            <w:tcW w:w="1559" w:type="dxa"/>
          </w:tcPr>
          <w:p w14:paraId="7BF571C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0.85–0.95 %</w:t>
            </w:r>
          </w:p>
        </w:tc>
        <w:tc>
          <w:tcPr>
            <w:tcW w:w="567" w:type="dxa"/>
          </w:tcPr>
          <w:p w14:paraId="121B31C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Mn:</w:t>
            </w:r>
          </w:p>
        </w:tc>
        <w:tc>
          <w:tcPr>
            <w:tcW w:w="1559" w:type="dxa"/>
          </w:tcPr>
          <w:p w14:paraId="385125D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0.45–0.50 %</w:t>
            </w:r>
          </w:p>
        </w:tc>
        <w:tc>
          <w:tcPr>
            <w:tcW w:w="567" w:type="dxa"/>
          </w:tcPr>
          <w:p w14:paraId="1C246ED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Zn:</w:t>
            </w:r>
          </w:p>
        </w:tc>
        <w:tc>
          <w:tcPr>
            <w:tcW w:w="1560" w:type="dxa"/>
          </w:tcPr>
          <w:p w14:paraId="3CBCCC27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0.05 %</w:t>
            </w:r>
          </w:p>
        </w:tc>
      </w:tr>
      <w:tr w:rsidR="00775263" w:rsidRPr="00775263" w14:paraId="4C704FB1" w14:textId="77777777">
        <w:tc>
          <w:tcPr>
            <w:tcW w:w="567" w:type="dxa"/>
          </w:tcPr>
          <w:p w14:paraId="7D2D5F2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Fe:</w:t>
            </w:r>
          </w:p>
        </w:tc>
        <w:tc>
          <w:tcPr>
            <w:tcW w:w="1559" w:type="dxa"/>
          </w:tcPr>
          <w:p w14:paraId="50A7718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0.20 %</w:t>
            </w:r>
          </w:p>
        </w:tc>
        <w:tc>
          <w:tcPr>
            <w:tcW w:w="567" w:type="dxa"/>
          </w:tcPr>
          <w:p w14:paraId="42BAD0F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Mg:</w:t>
            </w:r>
          </w:p>
        </w:tc>
        <w:tc>
          <w:tcPr>
            <w:tcW w:w="1559" w:type="dxa"/>
          </w:tcPr>
          <w:p w14:paraId="13EF387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0.75–0.85 %</w:t>
            </w:r>
          </w:p>
        </w:tc>
        <w:tc>
          <w:tcPr>
            <w:tcW w:w="567" w:type="dxa"/>
          </w:tcPr>
          <w:p w14:paraId="5B554767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Ti:</w:t>
            </w:r>
          </w:p>
        </w:tc>
        <w:tc>
          <w:tcPr>
            <w:tcW w:w="1560" w:type="dxa"/>
          </w:tcPr>
          <w:p w14:paraId="71A11A0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0.04 %</w:t>
            </w:r>
          </w:p>
        </w:tc>
      </w:tr>
      <w:tr w:rsidR="00775263" w:rsidRPr="00775263" w14:paraId="25681085" w14:textId="77777777">
        <w:tc>
          <w:tcPr>
            <w:tcW w:w="567" w:type="dxa"/>
          </w:tcPr>
          <w:p w14:paraId="0BAE085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Cu:</w:t>
            </w:r>
          </w:p>
        </w:tc>
        <w:tc>
          <w:tcPr>
            <w:tcW w:w="1559" w:type="dxa"/>
          </w:tcPr>
          <w:p w14:paraId="2E83306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0.45–0.50 %</w:t>
            </w:r>
          </w:p>
        </w:tc>
        <w:tc>
          <w:tcPr>
            <w:tcW w:w="567" w:type="dxa"/>
          </w:tcPr>
          <w:p w14:paraId="79E397E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Cr:</w:t>
            </w:r>
          </w:p>
        </w:tc>
        <w:tc>
          <w:tcPr>
            <w:tcW w:w="1559" w:type="dxa"/>
          </w:tcPr>
          <w:p w14:paraId="2B469E1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0.17–0.24 %</w:t>
            </w:r>
          </w:p>
        </w:tc>
        <w:tc>
          <w:tcPr>
            <w:tcW w:w="567" w:type="dxa"/>
          </w:tcPr>
          <w:p w14:paraId="4F2C45F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Pb:</w:t>
            </w:r>
          </w:p>
        </w:tc>
        <w:tc>
          <w:tcPr>
            <w:tcW w:w="1560" w:type="dxa"/>
          </w:tcPr>
          <w:p w14:paraId="70847AC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0.0065 %</w:t>
            </w:r>
          </w:p>
        </w:tc>
      </w:tr>
      <w:tr w:rsidR="00775263" w:rsidRPr="00775263" w14:paraId="6F71F0B2" w14:textId="77777777">
        <w:tc>
          <w:tcPr>
            <w:tcW w:w="567" w:type="dxa"/>
          </w:tcPr>
          <w:p w14:paraId="244E9682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Zr:</w:t>
            </w:r>
          </w:p>
        </w:tc>
        <w:tc>
          <w:tcPr>
            <w:tcW w:w="1559" w:type="dxa"/>
          </w:tcPr>
          <w:p w14:paraId="75F0CB0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0.02 %</w:t>
            </w:r>
          </w:p>
        </w:tc>
        <w:tc>
          <w:tcPr>
            <w:tcW w:w="567" w:type="dxa"/>
          </w:tcPr>
          <w:p w14:paraId="31AA72B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Na:</w:t>
            </w:r>
          </w:p>
        </w:tc>
        <w:tc>
          <w:tcPr>
            <w:tcW w:w="1559" w:type="dxa"/>
          </w:tcPr>
          <w:p w14:paraId="72FE8FF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0.0008 %</w:t>
            </w:r>
          </w:p>
        </w:tc>
        <w:tc>
          <w:tcPr>
            <w:tcW w:w="567" w:type="dxa"/>
          </w:tcPr>
          <w:p w14:paraId="2AE6FD1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Cd:</w:t>
            </w:r>
          </w:p>
        </w:tc>
        <w:tc>
          <w:tcPr>
            <w:tcW w:w="1560" w:type="dxa"/>
          </w:tcPr>
          <w:p w14:paraId="7A88DC22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0.01 %</w:t>
            </w:r>
          </w:p>
        </w:tc>
      </w:tr>
      <w:tr w:rsidR="00775263" w:rsidRPr="00775263" w14:paraId="1DB3D79C" w14:textId="77777777">
        <w:tc>
          <w:tcPr>
            <w:tcW w:w="567" w:type="dxa"/>
          </w:tcPr>
          <w:p w14:paraId="012BCFA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B:</w:t>
            </w:r>
          </w:p>
        </w:tc>
        <w:tc>
          <w:tcPr>
            <w:tcW w:w="1559" w:type="dxa"/>
          </w:tcPr>
          <w:p w14:paraId="08CB192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0.0050 %</w:t>
            </w:r>
          </w:p>
        </w:tc>
        <w:tc>
          <w:tcPr>
            <w:tcW w:w="567" w:type="dxa"/>
          </w:tcPr>
          <w:p w14:paraId="7290F04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Ca:</w:t>
            </w:r>
          </w:p>
        </w:tc>
        <w:tc>
          <w:tcPr>
            <w:tcW w:w="1559" w:type="dxa"/>
          </w:tcPr>
          <w:p w14:paraId="3D5F4DA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0.0008 %</w:t>
            </w:r>
          </w:p>
        </w:tc>
        <w:tc>
          <w:tcPr>
            <w:tcW w:w="567" w:type="dxa"/>
          </w:tcPr>
          <w:p w14:paraId="0C326D77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Bi:</w:t>
            </w:r>
          </w:p>
        </w:tc>
        <w:tc>
          <w:tcPr>
            <w:tcW w:w="1560" w:type="dxa"/>
          </w:tcPr>
          <w:p w14:paraId="059E1C6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</w:tr>
      <w:tr w:rsidR="00B110D7" w:rsidRPr="00775263" w14:paraId="441DB35A" w14:textId="77777777">
        <w:tc>
          <w:tcPr>
            <w:tcW w:w="567" w:type="dxa"/>
          </w:tcPr>
          <w:p w14:paraId="176346C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Sn:</w:t>
            </w:r>
          </w:p>
        </w:tc>
        <w:tc>
          <w:tcPr>
            <w:tcW w:w="1559" w:type="dxa"/>
          </w:tcPr>
          <w:p w14:paraId="569E0DB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0881EB4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Sr:</w:t>
            </w:r>
          </w:p>
        </w:tc>
        <w:tc>
          <w:tcPr>
            <w:tcW w:w="1559" w:type="dxa"/>
          </w:tcPr>
          <w:p w14:paraId="7B2B873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4FEF17F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1560" w:type="dxa"/>
          </w:tcPr>
          <w:p w14:paraId="2276D6D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</w:tr>
    </w:tbl>
    <w:p w14:paraId="42766015" w14:textId="77777777" w:rsidR="00B110D7" w:rsidRPr="00775263" w:rsidRDefault="00B110D7" w:rsidP="00B110D7">
      <w:pPr>
        <w:rPr>
          <w:sz w:val="10"/>
          <w:szCs w:val="10"/>
          <w:lang w:val="en-GB" w:eastAsia="cs-CZ"/>
        </w:rPr>
      </w:pPr>
    </w:p>
    <w:p w14:paraId="5250DE0B" w14:textId="77777777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Other elements (each):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  <w:t>max. 0.05 %</w:t>
      </w:r>
    </w:p>
    <w:p w14:paraId="036332BA" w14:textId="77777777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Other elements (total):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  <w:t>max. 0.15 %</w:t>
      </w:r>
    </w:p>
    <w:p w14:paraId="0F9DBE2C" w14:textId="49439F61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H</w:t>
      </w:r>
      <w:r w:rsidRPr="00775263">
        <w:rPr>
          <w:sz w:val="18"/>
          <w:szCs w:val="18"/>
          <w:vertAlign w:val="subscript"/>
          <w:lang w:val="en-GB" w:eastAsia="cs-CZ"/>
        </w:rPr>
        <w:t>2</w:t>
      </w:r>
      <w:r w:rsidRPr="00775263">
        <w:rPr>
          <w:sz w:val="18"/>
          <w:szCs w:val="18"/>
          <w:lang w:val="en-GB" w:eastAsia="cs-CZ"/>
        </w:rPr>
        <w:t xml:space="preserve"> content: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</w:r>
      <w:r w:rsidRPr="006344AF">
        <w:rPr>
          <w:sz w:val="18"/>
          <w:szCs w:val="18"/>
          <w:lang w:val="en-GB" w:eastAsia="cs-CZ"/>
        </w:rPr>
        <w:t>max. 0.</w:t>
      </w:r>
      <w:r w:rsidR="006344AF">
        <w:rPr>
          <w:sz w:val="18"/>
          <w:szCs w:val="18"/>
          <w:lang w:val="en-GB" w:eastAsia="cs-CZ"/>
        </w:rPr>
        <w:t>1</w:t>
      </w:r>
      <w:r w:rsidR="00875586">
        <w:rPr>
          <w:sz w:val="18"/>
          <w:szCs w:val="18"/>
          <w:lang w:val="en-GB" w:eastAsia="cs-CZ"/>
        </w:rPr>
        <w:t>3</w:t>
      </w:r>
      <w:r w:rsidRPr="006344AF">
        <w:rPr>
          <w:sz w:val="18"/>
          <w:szCs w:val="18"/>
          <w:lang w:val="en-GB" w:eastAsia="cs-CZ"/>
        </w:rPr>
        <w:t xml:space="preserve"> </w:t>
      </w:r>
      <w:proofErr w:type="spellStart"/>
      <w:r w:rsidRPr="006344AF">
        <w:rPr>
          <w:sz w:val="18"/>
          <w:szCs w:val="18"/>
          <w:lang w:val="en-GB" w:eastAsia="cs-CZ"/>
        </w:rPr>
        <w:t>ccm</w:t>
      </w:r>
      <w:proofErr w:type="spellEnd"/>
      <w:r w:rsidRPr="006344AF">
        <w:rPr>
          <w:sz w:val="18"/>
          <w:szCs w:val="18"/>
          <w:lang w:val="en-GB" w:eastAsia="cs-CZ"/>
        </w:rPr>
        <w:t>/100g</w:t>
      </w:r>
    </w:p>
    <w:p w14:paraId="248D411C" w14:textId="261DDF01" w:rsidR="00B110D7" w:rsidRPr="00775263" w:rsidRDefault="00B110D7" w:rsidP="00F03560">
      <w:pPr>
        <w:pStyle w:val="Titulek"/>
        <w:rPr>
          <w:lang w:val="en-GB"/>
        </w:rPr>
      </w:pPr>
      <w:r w:rsidRPr="00775263">
        <w:rPr>
          <w:lang w:val="en-GB"/>
        </w:rPr>
        <w:t xml:space="preserve">Table </w:t>
      </w:r>
      <w:r w:rsidRPr="00775263">
        <w:rPr>
          <w:lang w:val="en-GB"/>
        </w:rPr>
        <w:fldChar w:fldCharType="begin"/>
      </w:r>
      <w:r w:rsidRPr="00775263">
        <w:rPr>
          <w:lang w:val="en-GB"/>
        </w:rPr>
        <w:instrText xml:space="preserve"> SEQ Tabulka \* ARABIC </w:instrText>
      </w:r>
      <w:r w:rsidRPr="00775263">
        <w:rPr>
          <w:lang w:val="en-GB"/>
        </w:rPr>
        <w:fldChar w:fldCharType="separate"/>
      </w:r>
      <w:r w:rsidR="00262270">
        <w:rPr>
          <w:noProof/>
          <w:lang w:val="en-GB"/>
        </w:rPr>
        <w:t>3</w:t>
      </w:r>
      <w:r w:rsidRPr="00775263">
        <w:rPr>
          <w:lang w:val="en-GB"/>
        </w:rPr>
        <w:fldChar w:fldCharType="end"/>
      </w:r>
      <w:r w:rsidRPr="00775263">
        <w:rPr>
          <w:lang w:val="en-GB"/>
        </w:rPr>
        <w:t xml:space="preserve"> </w:t>
      </w:r>
      <w:r w:rsidRPr="00775263">
        <w:rPr>
          <w:b w:val="0"/>
          <w:bCs/>
          <w:lang w:val="en-GB"/>
        </w:rPr>
        <w:t>Chemical composition of alloy 6110A</w:t>
      </w:r>
    </w:p>
    <w:tbl>
      <w:tblPr>
        <w:tblStyle w:val="Mkatabulky"/>
        <w:tblW w:w="6379" w:type="dxa"/>
        <w:tblInd w:w="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59"/>
        <w:gridCol w:w="567"/>
        <w:gridCol w:w="1559"/>
        <w:gridCol w:w="567"/>
        <w:gridCol w:w="1560"/>
      </w:tblGrid>
      <w:tr w:rsidR="00775263" w:rsidRPr="00775263" w14:paraId="04E4A60B" w14:textId="77777777">
        <w:tc>
          <w:tcPr>
            <w:tcW w:w="567" w:type="dxa"/>
          </w:tcPr>
          <w:p w14:paraId="5A07A26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Si:</w:t>
            </w:r>
          </w:p>
        </w:tc>
        <w:tc>
          <w:tcPr>
            <w:tcW w:w="1559" w:type="dxa"/>
          </w:tcPr>
          <w:p w14:paraId="71EEB52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0.85–0.95 %</w:t>
            </w:r>
          </w:p>
        </w:tc>
        <w:tc>
          <w:tcPr>
            <w:tcW w:w="567" w:type="dxa"/>
          </w:tcPr>
          <w:p w14:paraId="6DA810D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Mn:</w:t>
            </w:r>
          </w:p>
        </w:tc>
        <w:tc>
          <w:tcPr>
            <w:tcW w:w="1559" w:type="dxa"/>
          </w:tcPr>
          <w:p w14:paraId="639B4EE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0.45–0.50 %</w:t>
            </w:r>
          </w:p>
        </w:tc>
        <w:tc>
          <w:tcPr>
            <w:tcW w:w="567" w:type="dxa"/>
          </w:tcPr>
          <w:p w14:paraId="582E569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Zn:</w:t>
            </w:r>
          </w:p>
        </w:tc>
        <w:tc>
          <w:tcPr>
            <w:tcW w:w="1560" w:type="dxa"/>
          </w:tcPr>
          <w:p w14:paraId="04BDEAC8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0.05 %</w:t>
            </w:r>
          </w:p>
        </w:tc>
      </w:tr>
      <w:tr w:rsidR="00775263" w:rsidRPr="00775263" w14:paraId="2AD20080" w14:textId="77777777">
        <w:tc>
          <w:tcPr>
            <w:tcW w:w="567" w:type="dxa"/>
          </w:tcPr>
          <w:p w14:paraId="52C2ADF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Fe:</w:t>
            </w:r>
          </w:p>
        </w:tc>
        <w:tc>
          <w:tcPr>
            <w:tcW w:w="1559" w:type="dxa"/>
          </w:tcPr>
          <w:p w14:paraId="1199B361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0.20 %</w:t>
            </w:r>
          </w:p>
        </w:tc>
        <w:tc>
          <w:tcPr>
            <w:tcW w:w="567" w:type="dxa"/>
          </w:tcPr>
          <w:p w14:paraId="50835C5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Mg:</w:t>
            </w:r>
          </w:p>
        </w:tc>
        <w:tc>
          <w:tcPr>
            <w:tcW w:w="1559" w:type="dxa"/>
          </w:tcPr>
          <w:p w14:paraId="5A7B4A9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0.75–0.85 %</w:t>
            </w:r>
          </w:p>
        </w:tc>
        <w:tc>
          <w:tcPr>
            <w:tcW w:w="567" w:type="dxa"/>
          </w:tcPr>
          <w:p w14:paraId="46E9E89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Ti:</w:t>
            </w:r>
          </w:p>
        </w:tc>
        <w:tc>
          <w:tcPr>
            <w:tcW w:w="1560" w:type="dxa"/>
          </w:tcPr>
          <w:p w14:paraId="168C98E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0.03–0.06 %</w:t>
            </w:r>
          </w:p>
        </w:tc>
      </w:tr>
      <w:tr w:rsidR="00775263" w:rsidRPr="00775263" w14:paraId="043C8356" w14:textId="77777777">
        <w:tc>
          <w:tcPr>
            <w:tcW w:w="567" w:type="dxa"/>
          </w:tcPr>
          <w:p w14:paraId="556A05A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Cu:</w:t>
            </w:r>
          </w:p>
        </w:tc>
        <w:tc>
          <w:tcPr>
            <w:tcW w:w="1559" w:type="dxa"/>
          </w:tcPr>
          <w:p w14:paraId="5F6747E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0.50–0.60 %</w:t>
            </w:r>
          </w:p>
        </w:tc>
        <w:tc>
          <w:tcPr>
            <w:tcW w:w="567" w:type="dxa"/>
          </w:tcPr>
          <w:p w14:paraId="183F701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Cr:</w:t>
            </w:r>
          </w:p>
        </w:tc>
        <w:tc>
          <w:tcPr>
            <w:tcW w:w="1559" w:type="dxa"/>
          </w:tcPr>
          <w:p w14:paraId="54BD160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0.08–0.14 %</w:t>
            </w:r>
          </w:p>
        </w:tc>
        <w:tc>
          <w:tcPr>
            <w:tcW w:w="567" w:type="dxa"/>
          </w:tcPr>
          <w:p w14:paraId="7501D57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Pb:</w:t>
            </w:r>
          </w:p>
        </w:tc>
        <w:tc>
          <w:tcPr>
            <w:tcW w:w="1560" w:type="dxa"/>
          </w:tcPr>
          <w:p w14:paraId="626628E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0.01 %</w:t>
            </w:r>
          </w:p>
        </w:tc>
      </w:tr>
      <w:tr w:rsidR="00775263" w:rsidRPr="00775263" w14:paraId="094F2B4B" w14:textId="77777777">
        <w:tc>
          <w:tcPr>
            <w:tcW w:w="567" w:type="dxa"/>
          </w:tcPr>
          <w:p w14:paraId="2087240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Zr:</w:t>
            </w:r>
          </w:p>
        </w:tc>
        <w:tc>
          <w:tcPr>
            <w:tcW w:w="1559" w:type="dxa"/>
          </w:tcPr>
          <w:p w14:paraId="7B7EEE32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0.08–0.14 %</w:t>
            </w:r>
          </w:p>
        </w:tc>
        <w:tc>
          <w:tcPr>
            <w:tcW w:w="567" w:type="dxa"/>
          </w:tcPr>
          <w:p w14:paraId="4F84EE72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Bi:</w:t>
            </w:r>
          </w:p>
        </w:tc>
        <w:tc>
          <w:tcPr>
            <w:tcW w:w="1559" w:type="dxa"/>
          </w:tcPr>
          <w:p w14:paraId="39BC760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0E092352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Cd:</w:t>
            </w:r>
          </w:p>
        </w:tc>
        <w:tc>
          <w:tcPr>
            <w:tcW w:w="1560" w:type="dxa"/>
          </w:tcPr>
          <w:p w14:paraId="0F9CB16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0.01 %</w:t>
            </w:r>
          </w:p>
        </w:tc>
      </w:tr>
      <w:tr w:rsidR="00B110D7" w:rsidRPr="00775263" w14:paraId="418E46BE" w14:textId="77777777">
        <w:tc>
          <w:tcPr>
            <w:tcW w:w="567" w:type="dxa"/>
          </w:tcPr>
          <w:p w14:paraId="3D3C926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Sn:</w:t>
            </w:r>
          </w:p>
        </w:tc>
        <w:tc>
          <w:tcPr>
            <w:tcW w:w="1559" w:type="dxa"/>
          </w:tcPr>
          <w:p w14:paraId="57C9F93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7A6ADE30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Sr:</w:t>
            </w:r>
          </w:p>
        </w:tc>
        <w:tc>
          <w:tcPr>
            <w:tcW w:w="1559" w:type="dxa"/>
          </w:tcPr>
          <w:p w14:paraId="70DAD98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16D75D0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1560" w:type="dxa"/>
          </w:tcPr>
          <w:p w14:paraId="5F1847F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</w:tr>
    </w:tbl>
    <w:p w14:paraId="0A3CC9B5" w14:textId="77777777" w:rsidR="00B110D7" w:rsidRPr="00775263" w:rsidRDefault="00B110D7" w:rsidP="00B110D7">
      <w:pPr>
        <w:rPr>
          <w:sz w:val="10"/>
          <w:szCs w:val="10"/>
          <w:lang w:val="en-GB" w:eastAsia="cs-CZ"/>
        </w:rPr>
      </w:pPr>
    </w:p>
    <w:p w14:paraId="5912E0B2" w14:textId="77777777" w:rsidR="00B110D7" w:rsidRPr="00775263" w:rsidRDefault="00B110D7" w:rsidP="00B110D7">
      <w:pPr>
        <w:ind w:left="263"/>
        <w:rPr>
          <w:sz w:val="18"/>
          <w:szCs w:val="18"/>
          <w:lang w:val="en-GB" w:eastAsia="cs-CZ"/>
        </w:rPr>
      </w:pPr>
      <w:r w:rsidRPr="00775263">
        <w:rPr>
          <w:sz w:val="18"/>
          <w:szCs w:val="18"/>
          <w:lang w:val="en-GB" w:eastAsia="cs-CZ"/>
        </w:rPr>
        <w:t>Other elements (each):</w:t>
      </w:r>
      <w:r w:rsidRPr="00775263">
        <w:rPr>
          <w:sz w:val="18"/>
          <w:szCs w:val="18"/>
          <w:lang w:val="en-GB" w:eastAsia="cs-CZ"/>
        </w:rPr>
        <w:tab/>
      </w:r>
      <w:r w:rsidRPr="00775263">
        <w:rPr>
          <w:sz w:val="18"/>
          <w:szCs w:val="18"/>
          <w:lang w:val="en-GB" w:eastAsia="cs-CZ"/>
        </w:rPr>
        <w:tab/>
        <w:t>max. 0.05 %</w:t>
      </w:r>
    </w:p>
    <w:p w14:paraId="4442F27E" w14:textId="77777777" w:rsidR="00B110D7" w:rsidRPr="0070296E" w:rsidRDefault="00B110D7" w:rsidP="00B110D7">
      <w:pPr>
        <w:ind w:left="263"/>
        <w:rPr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Other elements (total):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  <w:t>max. 0.15 %</w:t>
      </w:r>
    </w:p>
    <w:p w14:paraId="575D9FD8" w14:textId="77777777" w:rsidR="00B110D7" w:rsidRPr="0070296E" w:rsidRDefault="00B110D7" w:rsidP="00B110D7">
      <w:pPr>
        <w:ind w:left="263"/>
        <w:rPr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Ti + Zr: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  <w:t>max. 0.20 %</w:t>
      </w:r>
    </w:p>
    <w:p w14:paraId="3DC9F3AA" w14:textId="1B5A3A78" w:rsidR="00B110D7" w:rsidRPr="0070296E" w:rsidRDefault="00B110D7" w:rsidP="00B110D7">
      <w:pPr>
        <w:ind w:left="263"/>
        <w:rPr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H</w:t>
      </w:r>
      <w:r w:rsidRPr="0070296E">
        <w:rPr>
          <w:sz w:val="18"/>
          <w:szCs w:val="18"/>
          <w:vertAlign w:val="subscript"/>
          <w:lang w:val="en-GB" w:eastAsia="cs-CZ"/>
        </w:rPr>
        <w:t>2</w:t>
      </w:r>
      <w:r w:rsidRPr="0070296E">
        <w:rPr>
          <w:sz w:val="18"/>
          <w:szCs w:val="18"/>
          <w:lang w:val="en-GB" w:eastAsia="cs-CZ"/>
        </w:rPr>
        <w:t xml:space="preserve"> content: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  <w:t>max. 0.</w:t>
      </w:r>
      <w:r w:rsidR="006344AF">
        <w:rPr>
          <w:sz w:val="18"/>
          <w:szCs w:val="18"/>
          <w:lang w:val="en-GB" w:eastAsia="cs-CZ"/>
        </w:rPr>
        <w:t>1</w:t>
      </w:r>
      <w:r w:rsidR="00875586">
        <w:rPr>
          <w:sz w:val="18"/>
          <w:szCs w:val="18"/>
          <w:lang w:val="en-GB" w:eastAsia="cs-CZ"/>
        </w:rPr>
        <w:t>3</w:t>
      </w:r>
      <w:r w:rsidRPr="0070296E">
        <w:rPr>
          <w:sz w:val="18"/>
          <w:szCs w:val="18"/>
          <w:lang w:val="en-GB" w:eastAsia="cs-CZ"/>
        </w:rPr>
        <w:t xml:space="preserve"> </w:t>
      </w:r>
      <w:proofErr w:type="spellStart"/>
      <w:r w:rsidRPr="0070296E">
        <w:rPr>
          <w:sz w:val="18"/>
          <w:szCs w:val="18"/>
          <w:lang w:val="en-GB" w:eastAsia="cs-CZ"/>
        </w:rPr>
        <w:t>ccm</w:t>
      </w:r>
      <w:proofErr w:type="spellEnd"/>
      <w:r w:rsidRPr="0070296E">
        <w:rPr>
          <w:sz w:val="18"/>
          <w:szCs w:val="18"/>
          <w:lang w:val="en-GB" w:eastAsia="cs-CZ"/>
        </w:rPr>
        <w:t>/100g</w:t>
      </w:r>
    </w:p>
    <w:p w14:paraId="0795A491" w14:textId="7060C983" w:rsidR="00B110D7" w:rsidRPr="00775263" w:rsidRDefault="00B110D7" w:rsidP="00F03560">
      <w:pPr>
        <w:pStyle w:val="Titulek"/>
        <w:rPr>
          <w:lang w:val="en-GB"/>
        </w:rPr>
      </w:pPr>
      <w:r w:rsidRPr="0070296E">
        <w:rPr>
          <w:lang w:val="en-GB"/>
        </w:rPr>
        <w:t xml:space="preserve">Table </w:t>
      </w:r>
      <w:r w:rsidRPr="0070296E">
        <w:rPr>
          <w:lang w:val="en-GB"/>
        </w:rPr>
        <w:fldChar w:fldCharType="begin"/>
      </w:r>
      <w:r w:rsidRPr="0070296E">
        <w:rPr>
          <w:lang w:val="en-GB"/>
        </w:rPr>
        <w:instrText xml:space="preserve"> SEQ Tabulka \* ARABIC </w:instrText>
      </w:r>
      <w:r w:rsidRPr="0070296E">
        <w:rPr>
          <w:lang w:val="en-GB"/>
        </w:rPr>
        <w:fldChar w:fldCharType="separate"/>
      </w:r>
      <w:r w:rsidR="00262270">
        <w:rPr>
          <w:noProof/>
          <w:lang w:val="en-GB"/>
        </w:rPr>
        <w:t>4</w:t>
      </w:r>
      <w:r w:rsidRPr="0070296E">
        <w:rPr>
          <w:lang w:val="en-GB"/>
        </w:rPr>
        <w:fldChar w:fldCharType="end"/>
      </w:r>
      <w:r w:rsidRPr="0070296E">
        <w:rPr>
          <w:lang w:val="en-GB"/>
        </w:rPr>
        <w:t xml:space="preserve"> </w:t>
      </w:r>
      <w:r w:rsidRPr="00775263">
        <w:rPr>
          <w:b w:val="0"/>
          <w:bCs/>
          <w:lang w:val="en-GB"/>
        </w:rPr>
        <w:t>Chemical composition of alloy 6182</w:t>
      </w:r>
    </w:p>
    <w:tbl>
      <w:tblPr>
        <w:tblStyle w:val="Mkatabulky"/>
        <w:tblW w:w="6379" w:type="dxa"/>
        <w:tblInd w:w="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59"/>
        <w:gridCol w:w="567"/>
        <w:gridCol w:w="1559"/>
        <w:gridCol w:w="567"/>
        <w:gridCol w:w="1560"/>
      </w:tblGrid>
      <w:tr w:rsidR="00775263" w:rsidRPr="00775263" w14:paraId="3F5DD7DC" w14:textId="77777777">
        <w:tc>
          <w:tcPr>
            <w:tcW w:w="567" w:type="dxa"/>
          </w:tcPr>
          <w:p w14:paraId="348D4C1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Si:</w:t>
            </w:r>
          </w:p>
        </w:tc>
        <w:tc>
          <w:tcPr>
            <w:tcW w:w="1559" w:type="dxa"/>
          </w:tcPr>
          <w:p w14:paraId="2BAC3DF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1.25–1.34 %</w:t>
            </w:r>
          </w:p>
        </w:tc>
        <w:tc>
          <w:tcPr>
            <w:tcW w:w="567" w:type="dxa"/>
          </w:tcPr>
          <w:p w14:paraId="09D1BDA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Mn:</w:t>
            </w:r>
          </w:p>
        </w:tc>
        <w:tc>
          <w:tcPr>
            <w:tcW w:w="1559" w:type="dxa"/>
          </w:tcPr>
          <w:p w14:paraId="4E65FE8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0.51–0.57 %</w:t>
            </w:r>
          </w:p>
        </w:tc>
        <w:tc>
          <w:tcPr>
            <w:tcW w:w="567" w:type="dxa"/>
          </w:tcPr>
          <w:p w14:paraId="39E307E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Zn:</w:t>
            </w:r>
          </w:p>
        </w:tc>
        <w:tc>
          <w:tcPr>
            <w:tcW w:w="1560" w:type="dxa"/>
          </w:tcPr>
          <w:p w14:paraId="55B2972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0.1 %</w:t>
            </w:r>
          </w:p>
        </w:tc>
      </w:tr>
      <w:tr w:rsidR="00775263" w:rsidRPr="00775263" w14:paraId="284C2AC0" w14:textId="77777777">
        <w:tc>
          <w:tcPr>
            <w:tcW w:w="567" w:type="dxa"/>
          </w:tcPr>
          <w:p w14:paraId="0E2EF63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Fe:</w:t>
            </w:r>
          </w:p>
        </w:tc>
        <w:tc>
          <w:tcPr>
            <w:tcW w:w="1559" w:type="dxa"/>
          </w:tcPr>
          <w:p w14:paraId="3AA7F638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0.14–0.25 %</w:t>
            </w:r>
          </w:p>
        </w:tc>
        <w:tc>
          <w:tcPr>
            <w:tcW w:w="567" w:type="dxa"/>
          </w:tcPr>
          <w:p w14:paraId="589D873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Mg:</w:t>
            </w:r>
          </w:p>
        </w:tc>
        <w:tc>
          <w:tcPr>
            <w:tcW w:w="1559" w:type="dxa"/>
          </w:tcPr>
          <w:p w14:paraId="2E58ACF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0.80–0.90 %</w:t>
            </w:r>
          </w:p>
        </w:tc>
        <w:tc>
          <w:tcPr>
            <w:tcW w:w="567" w:type="dxa"/>
          </w:tcPr>
          <w:p w14:paraId="1AF00F65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Ti:</w:t>
            </w:r>
          </w:p>
        </w:tc>
        <w:tc>
          <w:tcPr>
            <w:tcW w:w="1560" w:type="dxa"/>
          </w:tcPr>
          <w:p w14:paraId="068B47B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0.01–0.05 %</w:t>
            </w:r>
          </w:p>
        </w:tc>
      </w:tr>
      <w:tr w:rsidR="00775263" w:rsidRPr="00775263" w14:paraId="6773C20C" w14:textId="77777777">
        <w:tc>
          <w:tcPr>
            <w:tcW w:w="567" w:type="dxa"/>
          </w:tcPr>
          <w:p w14:paraId="0D10E2B7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Cu:</w:t>
            </w:r>
          </w:p>
        </w:tc>
        <w:tc>
          <w:tcPr>
            <w:tcW w:w="1559" w:type="dxa"/>
          </w:tcPr>
          <w:p w14:paraId="5BD64D9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0.026–0.054 %</w:t>
            </w:r>
          </w:p>
        </w:tc>
        <w:tc>
          <w:tcPr>
            <w:tcW w:w="567" w:type="dxa"/>
          </w:tcPr>
          <w:p w14:paraId="476B5BC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Cr:</w:t>
            </w:r>
          </w:p>
        </w:tc>
        <w:tc>
          <w:tcPr>
            <w:tcW w:w="1559" w:type="dxa"/>
          </w:tcPr>
          <w:p w14:paraId="7CAD4E96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0.07–0.12 %</w:t>
            </w:r>
          </w:p>
        </w:tc>
        <w:tc>
          <w:tcPr>
            <w:tcW w:w="567" w:type="dxa"/>
          </w:tcPr>
          <w:p w14:paraId="1FACDA83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Pb:</w:t>
            </w:r>
          </w:p>
        </w:tc>
        <w:tc>
          <w:tcPr>
            <w:tcW w:w="1560" w:type="dxa"/>
          </w:tcPr>
          <w:p w14:paraId="45479D8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0.0065 %</w:t>
            </w:r>
          </w:p>
        </w:tc>
      </w:tr>
      <w:tr w:rsidR="00775263" w:rsidRPr="00775263" w14:paraId="6AC63956" w14:textId="77777777">
        <w:tc>
          <w:tcPr>
            <w:tcW w:w="567" w:type="dxa"/>
          </w:tcPr>
          <w:p w14:paraId="5EE83D6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Zr:</w:t>
            </w:r>
          </w:p>
        </w:tc>
        <w:tc>
          <w:tcPr>
            <w:tcW w:w="1559" w:type="dxa"/>
          </w:tcPr>
          <w:p w14:paraId="0E8923C4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0.14–0.18 %</w:t>
            </w:r>
          </w:p>
        </w:tc>
        <w:tc>
          <w:tcPr>
            <w:tcW w:w="567" w:type="dxa"/>
          </w:tcPr>
          <w:p w14:paraId="3E2DCD47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Bi:</w:t>
            </w:r>
          </w:p>
        </w:tc>
        <w:tc>
          <w:tcPr>
            <w:tcW w:w="1559" w:type="dxa"/>
          </w:tcPr>
          <w:p w14:paraId="7E28E3A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01B3373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Cd:</w:t>
            </w:r>
          </w:p>
        </w:tc>
        <w:tc>
          <w:tcPr>
            <w:tcW w:w="1560" w:type="dxa"/>
          </w:tcPr>
          <w:p w14:paraId="535B25C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0.01 %</w:t>
            </w:r>
          </w:p>
        </w:tc>
      </w:tr>
      <w:tr w:rsidR="00775263" w:rsidRPr="00775263" w14:paraId="47A1BE2A" w14:textId="77777777">
        <w:tc>
          <w:tcPr>
            <w:tcW w:w="567" w:type="dxa"/>
          </w:tcPr>
          <w:p w14:paraId="51927F7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B:</w:t>
            </w:r>
          </w:p>
        </w:tc>
        <w:tc>
          <w:tcPr>
            <w:tcW w:w="1559" w:type="dxa"/>
          </w:tcPr>
          <w:p w14:paraId="7C31EA4C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0.0050 %</w:t>
            </w:r>
          </w:p>
        </w:tc>
        <w:tc>
          <w:tcPr>
            <w:tcW w:w="567" w:type="dxa"/>
          </w:tcPr>
          <w:p w14:paraId="21F66A89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Sr:</w:t>
            </w:r>
          </w:p>
        </w:tc>
        <w:tc>
          <w:tcPr>
            <w:tcW w:w="1559" w:type="dxa"/>
          </w:tcPr>
          <w:p w14:paraId="0561C63E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0.010 %</w:t>
            </w:r>
          </w:p>
        </w:tc>
        <w:tc>
          <w:tcPr>
            <w:tcW w:w="567" w:type="dxa"/>
          </w:tcPr>
          <w:p w14:paraId="12FEDC0B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Sn:</w:t>
            </w:r>
          </w:p>
        </w:tc>
        <w:tc>
          <w:tcPr>
            <w:tcW w:w="1560" w:type="dxa"/>
          </w:tcPr>
          <w:p w14:paraId="564C4938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0.01 %</w:t>
            </w:r>
          </w:p>
        </w:tc>
      </w:tr>
      <w:tr w:rsidR="00775263" w:rsidRPr="00775263" w14:paraId="1ED66F6A" w14:textId="77777777" w:rsidTr="00775263">
        <w:trPr>
          <w:trHeight w:val="63"/>
        </w:trPr>
        <w:tc>
          <w:tcPr>
            <w:tcW w:w="567" w:type="dxa"/>
          </w:tcPr>
          <w:p w14:paraId="23091C6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Na:</w:t>
            </w:r>
          </w:p>
        </w:tc>
        <w:tc>
          <w:tcPr>
            <w:tcW w:w="1559" w:type="dxa"/>
          </w:tcPr>
          <w:p w14:paraId="2F93C91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0.0008 %</w:t>
            </w:r>
          </w:p>
        </w:tc>
        <w:tc>
          <w:tcPr>
            <w:tcW w:w="567" w:type="dxa"/>
          </w:tcPr>
          <w:p w14:paraId="5396C5EF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Ca:</w:t>
            </w:r>
          </w:p>
        </w:tc>
        <w:tc>
          <w:tcPr>
            <w:tcW w:w="1559" w:type="dxa"/>
          </w:tcPr>
          <w:p w14:paraId="5A343358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  <w:r w:rsidRPr="00775263">
              <w:rPr>
                <w:sz w:val="18"/>
                <w:szCs w:val="18"/>
                <w:lang w:val="en-GB" w:eastAsia="cs-CZ"/>
              </w:rPr>
              <w:t>max. 0.0008 %</w:t>
            </w:r>
          </w:p>
        </w:tc>
        <w:tc>
          <w:tcPr>
            <w:tcW w:w="567" w:type="dxa"/>
          </w:tcPr>
          <w:p w14:paraId="1FA2A8CA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  <w:tc>
          <w:tcPr>
            <w:tcW w:w="1560" w:type="dxa"/>
          </w:tcPr>
          <w:p w14:paraId="3E31FD7D" w14:textId="77777777" w:rsidR="00B110D7" w:rsidRPr="00775263" w:rsidRDefault="00B110D7">
            <w:pPr>
              <w:rPr>
                <w:sz w:val="18"/>
                <w:szCs w:val="18"/>
                <w:lang w:val="en-GB" w:eastAsia="cs-CZ"/>
              </w:rPr>
            </w:pPr>
          </w:p>
        </w:tc>
      </w:tr>
    </w:tbl>
    <w:p w14:paraId="237D0888" w14:textId="77777777" w:rsidR="00B110D7" w:rsidRPr="0070296E" w:rsidRDefault="00B110D7" w:rsidP="00B110D7">
      <w:pPr>
        <w:rPr>
          <w:sz w:val="10"/>
          <w:szCs w:val="10"/>
          <w:lang w:val="en-GB" w:eastAsia="cs-CZ"/>
        </w:rPr>
      </w:pPr>
    </w:p>
    <w:p w14:paraId="0EBD06C7" w14:textId="77777777" w:rsidR="00B110D7" w:rsidRPr="0070296E" w:rsidRDefault="00B110D7" w:rsidP="00B110D7">
      <w:pPr>
        <w:ind w:left="263"/>
        <w:rPr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Other elements (each):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  <w:t>max. 0.05 %</w:t>
      </w:r>
    </w:p>
    <w:p w14:paraId="04B9AAB5" w14:textId="77777777" w:rsidR="00B110D7" w:rsidRPr="0070296E" w:rsidRDefault="00B110D7" w:rsidP="00B110D7">
      <w:pPr>
        <w:ind w:left="263"/>
        <w:rPr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Other elements (total):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  <w:t>max. 0.15 %</w:t>
      </w:r>
    </w:p>
    <w:p w14:paraId="61D68DE3" w14:textId="0003AC2A" w:rsidR="00B110D7" w:rsidRPr="00CA6FF6" w:rsidRDefault="00B110D7" w:rsidP="00B110D7">
      <w:pPr>
        <w:ind w:left="263"/>
        <w:rPr>
          <w:color w:val="FF0000"/>
          <w:sz w:val="18"/>
          <w:szCs w:val="18"/>
          <w:lang w:val="en-GB" w:eastAsia="cs-CZ"/>
        </w:rPr>
      </w:pPr>
      <w:r w:rsidRPr="0070296E">
        <w:rPr>
          <w:sz w:val="18"/>
          <w:szCs w:val="18"/>
          <w:lang w:val="en-GB" w:eastAsia="cs-CZ"/>
        </w:rPr>
        <w:t>H</w:t>
      </w:r>
      <w:r w:rsidRPr="0070296E">
        <w:rPr>
          <w:sz w:val="18"/>
          <w:szCs w:val="18"/>
          <w:vertAlign w:val="subscript"/>
          <w:lang w:val="en-GB" w:eastAsia="cs-CZ"/>
        </w:rPr>
        <w:t>2</w:t>
      </w:r>
      <w:r w:rsidRPr="0070296E">
        <w:rPr>
          <w:sz w:val="18"/>
          <w:szCs w:val="18"/>
          <w:lang w:val="en-GB" w:eastAsia="cs-CZ"/>
        </w:rPr>
        <w:t xml:space="preserve"> content:</w:t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</w:r>
      <w:r w:rsidRPr="0070296E">
        <w:rPr>
          <w:sz w:val="18"/>
          <w:szCs w:val="18"/>
          <w:lang w:val="en-GB" w:eastAsia="cs-CZ"/>
        </w:rPr>
        <w:tab/>
      </w:r>
      <w:r w:rsidRPr="00C23965">
        <w:rPr>
          <w:sz w:val="18"/>
          <w:szCs w:val="18"/>
          <w:lang w:val="en-GB" w:eastAsia="cs-CZ"/>
        </w:rPr>
        <w:t>max. 0.</w:t>
      </w:r>
      <w:r w:rsidR="006344AF">
        <w:rPr>
          <w:sz w:val="18"/>
          <w:szCs w:val="18"/>
          <w:lang w:val="en-GB" w:eastAsia="cs-CZ"/>
        </w:rPr>
        <w:t>1</w:t>
      </w:r>
      <w:r w:rsidR="00875586">
        <w:rPr>
          <w:sz w:val="18"/>
          <w:szCs w:val="18"/>
          <w:lang w:val="en-GB" w:eastAsia="cs-CZ"/>
        </w:rPr>
        <w:t>3</w:t>
      </w:r>
      <w:r w:rsidRPr="00C23965">
        <w:rPr>
          <w:sz w:val="18"/>
          <w:szCs w:val="18"/>
          <w:lang w:val="en-GB" w:eastAsia="cs-CZ"/>
        </w:rPr>
        <w:t xml:space="preserve"> </w:t>
      </w:r>
      <w:proofErr w:type="spellStart"/>
      <w:r w:rsidRPr="00C23965">
        <w:rPr>
          <w:sz w:val="18"/>
          <w:szCs w:val="18"/>
          <w:lang w:val="en-GB" w:eastAsia="cs-CZ"/>
        </w:rPr>
        <w:t>ccm</w:t>
      </w:r>
      <w:proofErr w:type="spellEnd"/>
      <w:r w:rsidRPr="00C23965">
        <w:rPr>
          <w:sz w:val="18"/>
          <w:szCs w:val="18"/>
          <w:lang w:val="en-GB" w:eastAsia="cs-CZ"/>
        </w:rPr>
        <w:t>/100g</w:t>
      </w:r>
    </w:p>
    <w:p w14:paraId="6473CCB1" w14:textId="06D4B25D" w:rsidR="005D3649" w:rsidRPr="00174D82" w:rsidRDefault="00A949A3" w:rsidP="00F03560">
      <w:pPr>
        <w:pStyle w:val="Nadpis3"/>
        <w:rPr>
          <w:lang w:val="en-US"/>
        </w:rPr>
      </w:pPr>
      <w:r w:rsidRPr="00174D82">
        <w:rPr>
          <w:lang w:val="en-US"/>
        </w:rPr>
        <w:lastRenderedPageBreak/>
        <w:t>Me</w:t>
      </w:r>
      <w:r w:rsidR="005D3649" w:rsidRPr="00174D82">
        <w:rPr>
          <w:lang w:val="en-US"/>
        </w:rPr>
        <w:t>tal quality</w:t>
      </w:r>
    </w:p>
    <w:p w14:paraId="4980856E" w14:textId="77777777" w:rsidR="005D3649" w:rsidRPr="0070296E" w:rsidRDefault="005D3649" w:rsidP="005D3649">
      <w:pPr>
        <w:ind w:right="311"/>
        <w:jc w:val="both"/>
        <w:rPr>
          <w:szCs w:val="22"/>
          <w:u w:val="single"/>
          <w:lang w:val="en-GB" w:eastAsia="cs-CZ"/>
        </w:rPr>
      </w:pPr>
      <w:r w:rsidRPr="0070296E">
        <w:rPr>
          <w:szCs w:val="22"/>
          <w:u w:val="single"/>
          <w:lang w:val="en-GB" w:eastAsia="cs-CZ"/>
        </w:rPr>
        <w:t>Grain size:</w:t>
      </w:r>
    </w:p>
    <w:p w14:paraId="628BB2B6" w14:textId="2B02B908" w:rsidR="005D3649" w:rsidRDefault="005D3649" w:rsidP="005D3649">
      <w:pPr>
        <w:pStyle w:val="odrky"/>
        <w:numPr>
          <w:ilvl w:val="0"/>
          <w:numId w:val="3"/>
        </w:numPr>
        <w:ind w:right="311"/>
        <w:rPr>
          <w:rFonts w:ascii="Times New Roman" w:hAnsi="Times New Roman"/>
        </w:rPr>
      </w:pPr>
      <w:r w:rsidRPr="00B32803">
        <w:rPr>
          <w:rFonts w:ascii="Times New Roman" w:hAnsi="Times New Roman"/>
        </w:rPr>
        <w:t>Not exceeding a maximum of 1</w:t>
      </w:r>
      <w:r w:rsidR="007D2C3D">
        <w:rPr>
          <w:rFonts w:ascii="Times New Roman" w:hAnsi="Times New Roman"/>
        </w:rPr>
        <w:t>20</w:t>
      </w:r>
      <w:r w:rsidRPr="00B32803">
        <w:rPr>
          <w:rFonts w:ascii="Times New Roman" w:hAnsi="Times New Roman"/>
        </w:rPr>
        <w:t xml:space="preserve"> µm; exception: no more than one single grain of </w:t>
      </w:r>
      <w:r w:rsidR="00B32803" w:rsidRPr="00B32803">
        <w:rPr>
          <w:rFonts w:ascii="Times New Roman" w:hAnsi="Times New Roman"/>
        </w:rPr>
        <w:t>less</w:t>
      </w:r>
      <w:r w:rsidRPr="00B32803">
        <w:rPr>
          <w:rFonts w:ascii="Times New Roman" w:hAnsi="Times New Roman"/>
        </w:rPr>
        <w:t xml:space="preserve"> than </w:t>
      </w:r>
      <w:r w:rsidR="007D2C3D">
        <w:rPr>
          <w:rFonts w:ascii="Times New Roman" w:hAnsi="Times New Roman"/>
        </w:rPr>
        <w:t>1</w:t>
      </w:r>
      <w:r w:rsidR="0072552D">
        <w:rPr>
          <w:rFonts w:ascii="Times New Roman" w:hAnsi="Times New Roman"/>
        </w:rPr>
        <w:t>75</w:t>
      </w:r>
      <w:r w:rsidRPr="00B32803">
        <w:rPr>
          <w:rFonts w:ascii="Times New Roman" w:hAnsi="Times New Roman"/>
        </w:rPr>
        <w:t xml:space="preserve"> µm in </w:t>
      </w:r>
      <w:r w:rsidR="00B32803" w:rsidRPr="00B32803">
        <w:rPr>
          <w:rFonts w:ascii="Times New Roman" w:hAnsi="Times New Roman"/>
        </w:rPr>
        <w:t>analysed</w:t>
      </w:r>
      <w:r w:rsidRPr="00B32803">
        <w:rPr>
          <w:rFonts w:ascii="Times New Roman" w:hAnsi="Times New Roman"/>
        </w:rPr>
        <w:t xml:space="preserve"> sample area. The </w:t>
      </w:r>
      <w:r w:rsidR="00B32803" w:rsidRPr="00B32803">
        <w:rPr>
          <w:rFonts w:ascii="Times New Roman" w:hAnsi="Times New Roman"/>
        </w:rPr>
        <w:t>analysed</w:t>
      </w:r>
      <w:r w:rsidRPr="00B32803">
        <w:rPr>
          <w:rFonts w:ascii="Times New Roman" w:hAnsi="Times New Roman"/>
        </w:rPr>
        <w:t xml:space="preserve"> area of the sample is evaluated in the </w:t>
      </w:r>
      <w:r w:rsidR="00B32803" w:rsidRPr="00B32803">
        <w:rPr>
          <w:rFonts w:ascii="Times New Roman" w:hAnsi="Times New Roman"/>
        </w:rPr>
        <w:t>centre</w:t>
      </w:r>
      <w:r w:rsidRPr="00B32803">
        <w:rPr>
          <w:rFonts w:ascii="Times New Roman" w:hAnsi="Times New Roman"/>
        </w:rPr>
        <w:t xml:space="preserve"> and at the edge of the </w:t>
      </w:r>
      <w:r w:rsidR="00BA6F6C">
        <w:rPr>
          <w:rFonts w:ascii="Times New Roman" w:hAnsi="Times New Roman"/>
        </w:rPr>
        <w:t>billet</w:t>
      </w:r>
      <w:r w:rsidRPr="00B32803">
        <w:rPr>
          <w:rFonts w:ascii="Times New Roman" w:hAnsi="Times New Roman"/>
        </w:rPr>
        <w:t>.</w:t>
      </w:r>
    </w:p>
    <w:p w14:paraId="2453E395" w14:textId="77777777" w:rsidR="005D3649" w:rsidRPr="0070296E" w:rsidRDefault="005D3649" w:rsidP="005D3649">
      <w:pPr>
        <w:ind w:right="311"/>
        <w:jc w:val="both"/>
        <w:rPr>
          <w:szCs w:val="22"/>
          <w:u w:val="single"/>
          <w:lang w:val="en-GB" w:eastAsia="cs-CZ"/>
        </w:rPr>
      </w:pPr>
      <w:r w:rsidRPr="0070296E">
        <w:rPr>
          <w:szCs w:val="22"/>
          <w:u w:val="single"/>
          <w:lang w:val="en-GB" w:eastAsia="cs-CZ"/>
        </w:rPr>
        <w:t>Microstructure:</w:t>
      </w:r>
    </w:p>
    <w:p w14:paraId="76D9A979" w14:textId="774A1E3E" w:rsidR="006344AF" w:rsidRPr="006344AF" w:rsidRDefault="006344AF" w:rsidP="006344AF">
      <w:pPr>
        <w:pStyle w:val="Odstavecseseznamem"/>
        <w:numPr>
          <w:ilvl w:val="0"/>
          <w:numId w:val="3"/>
        </w:numPr>
        <w:spacing w:before="120" w:after="60" w:line="360" w:lineRule="auto"/>
        <w:ind w:right="311"/>
        <w:jc w:val="both"/>
        <w:rPr>
          <w:color w:val="FF0000"/>
          <w:szCs w:val="22"/>
          <w:lang w:val="en-GB"/>
        </w:rPr>
      </w:pPr>
      <w:r>
        <w:rPr>
          <w:szCs w:val="22"/>
          <w:lang w:val="en-GB"/>
        </w:rPr>
        <w:t>Max. s</w:t>
      </w:r>
      <w:r w:rsidRPr="006344AF">
        <w:rPr>
          <w:szCs w:val="22"/>
          <w:lang w:val="en-GB"/>
        </w:rPr>
        <w:t xml:space="preserve">hell (peripheral) zone should not exceed </w:t>
      </w:r>
      <w:r w:rsidR="0072552D">
        <w:rPr>
          <w:szCs w:val="22"/>
          <w:lang w:val="en-GB"/>
        </w:rPr>
        <w:t>500</w:t>
      </w:r>
      <w:r w:rsidRPr="006344AF">
        <w:rPr>
          <w:sz w:val="23"/>
          <w:szCs w:val="23"/>
        </w:rPr>
        <w:t xml:space="preserve"> </w:t>
      </w:r>
      <w:proofErr w:type="spellStart"/>
      <w:r w:rsidRPr="006344AF">
        <w:rPr>
          <w:sz w:val="23"/>
          <w:szCs w:val="23"/>
        </w:rPr>
        <w:t>μm</w:t>
      </w:r>
      <w:proofErr w:type="spellEnd"/>
      <w:r w:rsidR="0072552D">
        <w:rPr>
          <w:sz w:val="23"/>
          <w:szCs w:val="23"/>
        </w:rPr>
        <w:t xml:space="preserve"> (not </w:t>
      </w:r>
      <w:proofErr w:type="spellStart"/>
      <w:r w:rsidR="0072552D">
        <w:rPr>
          <w:sz w:val="23"/>
          <w:szCs w:val="23"/>
        </w:rPr>
        <w:t>peeled</w:t>
      </w:r>
      <w:proofErr w:type="spellEnd"/>
      <w:r w:rsidR="0072552D">
        <w:rPr>
          <w:sz w:val="23"/>
          <w:szCs w:val="23"/>
        </w:rPr>
        <w:t>)</w:t>
      </w:r>
      <w:r>
        <w:rPr>
          <w:sz w:val="23"/>
          <w:szCs w:val="23"/>
        </w:rPr>
        <w:t>.</w:t>
      </w:r>
    </w:p>
    <w:p w14:paraId="554F6109" w14:textId="3E5CE9C9" w:rsidR="004D3E27" w:rsidRPr="00693CA0" w:rsidRDefault="004D3E27" w:rsidP="005D3649">
      <w:pPr>
        <w:pStyle w:val="Odstavecseseznamem"/>
        <w:numPr>
          <w:ilvl w:val="0"/>
          <w:numId w:val="3"/>
        </w:numPr>
        <w:spacing w:before="120" w:after="60" w:line="360" w:lineRule="auto"/>
        <w:ind w:right="311"/>
        <w:jc w:val="both"/>
        <w:rPr>
          <w:color w:val="FF0000"/>
          <w:szCs w:val="22"/>
          <w:lang w:val="en-GB"/>
        </w:rPr>
      </w:pPr>
      <w:r w:rsidRPr="00693CA0">
        <w:rPr>
          <w:szCs w:val="22"/>
          <w:lang w:val="en-GB"/>
        </w:rPr>
        <w:t xml:space="preserve">Secondary dendrite arm </w:t>
      </w:r>
      <w:proofErr w:type="gramStart"/>
      <w:r w:rsidRPr="00693CA0">
        <w:rPr>
          <w:szCs w:val="22"/>
          <w:lang w:val="en-GB"/>
        </w:rPr>
        <w:t>spacing:</w:t>
      </w:r>
      <w:proofErr w:type="gramEnd"/>
      <w:r w:rsidRPr="00693CA0">
        <w:rPr>
          <w:szCs w:val="22"/>
          <w:lang w:val="en-GB"/>
        </w:rPr>
        <w:t xml:space="preserve"> </w:t>
      </w:r>
      <w:r w:rsidRPr="006344AF">
        <w:rPr>
          <w:szCs w:val="22"/>
          <w:lang w:val="en-GB"/>
        </w:rPr>
        <w:t xml:space="preserve">average &lt; </w:t>
      </w:r>
      <w:r w:rsidR="00693CA0" w:rsidRPr="006344AF">
        <w:rPr>
          <w:szCs w:val="22"/>
          <w:lang w:val="en-GB"/>
        </w:rPr>
        <w:t>20</w:t>
      </w:r>
      <w:r w:rsidRPr="006344AF">
        <w:rPr>
          <w:szCs w:val="22"/>
          <w:lang w:val="en-GB"/>
        </w:rPr>
        <w:t xml:space="preserve"> µm</w:t>
      </w:r>
      <w:r w:rsidR="004566C1" w:rsidRPr="00693CA0">
        <w:rPr>
          <w:szCs w:val="22"/>
          <w:lang w:val="en-GB"/>
        </w:rPr>
        <w:t xml:space="preserve"> </w:t>
      </w:r>
    </w:p>
    <w:p w14:paraId="1FE1BE8D" w14:textId="3B9C8869" w:rsidR="00822F8B" w:rsidRPr="00822F8B" w:rsidRDefault="00822F8B" w:rsidP="00822F8B">
      <w:pPr>
        <w:pStyle w:val="Odstavecseseznamem"/>
        <w:numPr>
          <w:ilvl w:val="0"/>
          <w:numId w:val="3"/>
        </w:numPr>
        <w:contextualSpacing w:val="0"/>
        <w:rPr>
          <w:szCs w:val="22"/>
          <w:lang w:val="en-GB"/>
        </w:rPr>
      </w:pPr>
      <w:r w:rsidRPr="00822F8B">
        <w:rPr>
          <w:szCs w:val="22"/>
          <w:lang w:val="en-GB"/>
        </w:rPr>
        <w:t>Porosity (ISO 10049:2019): severity level 0 (</w:t>
      </w:r>
      <w:r>
        <w:rPr>
          <w:szCs w:val="22"/>
          <w:lang w:val="en-GB"/>
        </w:rPr>
        <w:t xml:space="preserve">1, 2, 3, </w:t>
      </w:r>
      <w:r w:rsidRPr="00822F8B">
        <w:rPr>
          <w:szCs w:val="22"/>
          <w:lang w:val="en-GB"/>
        </w:rPr>
        <w:t>4, 5 and 6 are not acceptable)</w:t>
      </w:r>
    </w:p>
    <w:p w14:paraId="5818480E" w14:textId="335B7473" w:rsidR="0031101F" w:rsidRPr="003B1923" w:rsidRDefault="0031101F" w:rsidP="0031101F">
      <w:pPr>
        <w:pStyle w:val="Odstavecseseznamem"/>
        <w:numPr>
          <w:ilvl w:val="0"/>
          <w:numId w:val="3"/>
        </w:numPr>
        <w:spacing w:before="120" w:after="60" w:line="360" w:lineRule="auto"/>
        <w:ind w:right="311"/>
        <w:jc w:val="both"/>
        <w:rPr>
          <w:szCs w:val="22"/>
          <w:lang w:val="en-GB"/>
        </w:rPr>
      </w:pPr>
      <w:r w:rsidRPr="003B1923">
        <w:rPr>
          <w:szCs w:val="22"/>
          <w:lang w:val="en-GB"/>
        </w:rPr>
        <w:t>No cracks and pores are allowed under 50 X magnification. If cracks or pores are funded under 50 X magnification, the sample is NOK</w:t>
      </w:r>
      <w:r w:rsidR="00A21040">
        <w:rPr>
          <w:szCs w:val="22"/>
          <w:lang w:val="en-GB"/>
        </w:rPr>
        <w:t>.</w:t>
      </w:r>
    </w:p>
    <w:p w14:paraId="5A79BABB" w14:textId="78B9CED5" w:rsidR="005D3649" w:rsidRPr="00317349" w:rsidRDefault="009E30E9" w:rsidP="005D3649">
      <w:pPr>
        <w:pStyle w:val="Odstavecseseznamem"/>
        <w:numPr>
          <w:ilvl w:val="0"/>
          <w:numId w:val="3"/>
        </w:numPr>
        <w:spacing w:before="120" w:after="60" w:line="360" w:lineRule="auto"/>
        <w:ind w:right="311"/>
        <w:jc w:val="both"/>
        <w:rPr>
          <w:szCs w:val="22"/>
          <w:lang w:val="en-GB"/>
        </w:rPr>
      </w:pPr>
      <w:proofErr w:type="spellStart"/>
      <w:r w:rsidRPr="00317349">
        <w:rPr>
          <w:szCs w:val="22"/>
          <w:lang w:val="en-GB"/>
        </w:rPr>
        <w:t>Spinels</w:t>
      </w:r>
      <w:proofErr w:type="spellEnd"/>
      <w:r w:rsidRPr="00317349">
        <w:rPr>
          <w:szCs w:val="22"/>
          <w:lang w:val="en-GB"/>
        </w:rPr>
        <w:t>, non-metallic</w:t>
      </w:r>
      <w:r w:rsidR="005D3649" w:rsidRPr="00317349">
        <w:rPr>
          <w:szCs w:val="22"/>
          <w:lang w:val="en-GB"/>
        </w:rPr>
        <w:t xml:space="preserve"> </w:t>
      </w:r>
      <w:proofErr w:type="gramStart"/>
      <w:r w:rsidRPr="00317349">
        <w:rPr>
          <w:szCs w:val="22"/>
          <w:lang w:val="en-GB"/>
        </w:rPr>
        <w:t>inclusions</w:t>
      </w:r>
      <w:proofErr w:type="gramEnd"/>
      <w:r w:rsidR="005D3649" w:rsidRPr="00317349">
        <w:rPr>
          <w:szCs w:val="22"/>
          <w:lang w:val="en-GB"/>
        </w:rPr>
        <w:t xml:space="preserve"> </w:t>
      </w:r>
      <w:r w:rsidRPr="00317349">
        <w:rPr>
          <w:szCs w:val="22"/>
          <w:lang w:val="en-GB"/>
        </w:rPr>
        <w:t xml:space="preserve">or feather crystals </w:t>
      </w:r>
      <w:r w:rsidR="006731EC" w:rsidRPr="00317349">
        <w:rPr>
          <w:szCs w:val="22"/>
          <w:lang w:val="en-GB"/>
        </w:rPr>
        <w:t xml:space="preserve">are </w:t>
      </w:r>
      <w:r w:rsidRPr="00317349">
        <w:rPr>
          <w:szCs w:val="22"/>
          <w:lang w:val="en-GB"/>
        </w:rPr>
        <w:t xml:space="preserve">not </w:t>
      </w:r>
      <w:r w:rsidR="006731EC" w:rsidRPr="00317349">
        <w:rPr>
          <w:szCs w:val="22"/>
          <w:lang w:val="en-GB"/>
        </w:rPr>
        <w:t>allowed</w:t>
      </w:r>
      <w:r w:rsidRPr="00317349">
        <w:rPr>
          <w:szCs w:val="22"/>
          <w:lang w:val="en-GB"/>
        </w:rPr>
        <w:t>.</w:t>
      </w:r>
    </w:p>
    <w:p w14:paraId="0AFD7AEB" w14:textId="162B0D4F" w:rsidR="005D3649" w:rsidRPr="0070296E" w:rsidRDefault="005D3649" w:rsidP="005D3649">
      <w:pPr>
        <w:pStyle w:val="Odstavecseseznamem"/>
        <w:numPr>
          <w:ilvl w:val="0"/>
          <w:numId w:val="3"/>
        </w:numPr>
        <w:spacing w:line="360" w:lineRule="auto"/>
        <w:ind w:right="311"/>
        <w:jc w:val="both"/>
        <w:rPr>
          <w:szCs w:val="22"/>
          <w:lang w:val="en-GB"/>
        </w:rPr>
      </w:pPr>
      <w:r w:rsidRPr="00CA6FF6">
        <w:rPr>
          <w:szCs w:val="22"/>
          <w:lang w:val="en-GB"/>
        </w:rPr>
        <w:t xml:space="preserve">In case of higher count of inclusions, </w:t>
      </w:r>
      <w:r w:rsidRPr="0070296E">
        <w:rPr>
          <w:szCs w:val="22"/>
          <w:lang w:val="en-GB"/>
        </w:rPr>
        <w:t>only one cluster larger than 50 µm, or one agglomeration larger than 20 µm is acceptable within an area of 1 mm</w:t>
      </w:r>
      <w:r w:rsidRPr="0070296E">
        <w:rPr>
          <w:szCs w:val="22"/>
          <w:vertAlign w:val="superscript"/>
          <w:lang w:val="en-GB"/>
        </w:rPr>
        <w:t>2</w:t>
      </w:r>
      <w:r w:rsidRPr="0070296E">
        <w:rPr>
          <w:szCs w:val="22"/>
          <w:lang w:val="en-GB"/>
        </w:rPr>
        <w:t xml:space="preserve">. </w:t>
      </w:r>
      <w:r w:rsidRPr="00CA6FF6">
        <w:rPr>
          <w:szCs w:val="22"/>
          <w:lang w:val="en-GB"/>
        </w:rPr>
        <w:t>Limits for</w:t>
      </w:r>
      <w:r w:rsidR="009E30E9">
        <w:rPr>
          <w:szCs w:val="22"/>
          <w:lang w:val="en-GB"/>
        </w:rPr>
        <w:t xml:space="preserve"> rough segregations</w:t>
      </w:r>
      <w:r w:rsidRPr="00CA6FF6">
        <w:rPr>
          <w:szCs w:val="22"/>
          <w:lang w:val="en-GB"/>
        </w:rPr>
        <w:t xml:space="preserve">, inclusions, oxides, salts, grain refiner particles are given in </w:t>
      </w:r>
      <w:r w:rsidRPr="00CA6FF6">
        <w:rPr>
          <w:b/>
          <w:bCs/>
          <w:szCs w:val="22"/>
          <w:lang w:val="en-GB"/>
        </w:rPr>
        <w:t>Table 5</w:t>
      </w:r>
      <w:r w:rsidRPr="00CA6FF6">
        <w:rPr>
          <w:lang w:val="en-GB"/>
        </w:rPr>
        <w:t>).</w:t>
      </w:r>
    </w:p>
    <w:p w14:paraId="63D25235" w14:textId="0F52B1A2" w:rsidR="005D3649" w:rsidRPr="0070296E" w:rsidRDefault="005D3649" w:rsidP="0070296E">
      <w:pPr>
        <w:pStyle w:val="Titulek"/>
        <w:jc w:val="center"/>
        <w:rPr>
          <w:lang w:val="en-GB"/>
        </w:rPr>
      </w:pPr>
      <w:r w:rsidRPr="0070296E">
        <w:rPr>
          <w:bCs/>
          <w:lang w:val="en-GB"/>
        </w:rPr>
        <w:t xml:space="preserve">Table </w:t>
      </w:r>
      <w:r w:rsidRPr="0070296E">
        <w:rPr>
          <w:bCs/>
          <w:lang w:val="en-GB"/>
        </w:rPr>
        <w:fldChar w:fldCharType="begin"/>
      </w:r>
      <w:r w:rsidRPr="0070296E">
        <w:rPr>
          <w:bCs/>
          <w:lang w:val="en-GB"/>
        </w:rPr>
        <w:instrText xml:space="preserve"> SEQ Tabulka \* ARABIC </w:instrText>
      </w:r>
      <w:r w:rsidRPr="0070296E">
        <w:rPr>
          <w:bCs/>
          <w:lang w:val="en-GB"/>
        </w:rPr>
        <w:fldChar w:fldCharType="separate"/>
      </w:r>
      <w:r w:rsidR="00262270">
        <w:rPr>
          <w:bCs/>
          <w:noProof/>
          <w:lang w:val="en-GB"/>
        </w:rPr>
        <w:t>5</w:t>
      </w:r>
      <w:r w:rsidRPr="0070296E">
        <w:rPr>
          <w:bCs/>
          <w:lang w:val="en-GB"/>
        </w:rPr>
        <w:fldChar w:fldCharType="end"/>
      </w:r>
      <w:r w:rsidRPr="0070296E">
        <w:rPr>
          <w:lang w:val="en-GB"/>
        </w:rPr>
        <w:t xml:space="preserve"> </w:t>
      </w:r>
      <w:r w:rsidRPr="0070296E">
        <w:rPr>
          <w:b w:val="0"/>
          <w:bCs/>
          <w:lang w:val="en-GB"/>
        </w:rPr>
        <w:t>Definitions and limits of inclusion types</w:t>
      </w:r>
    </w:p>
    <w:tbl>
      <w:tblPr>
        <w:tblStyle w:val="Mkatabulky"/>
        <w:tblW w:w="6091" w:type="dxa"/>
        <w:jc w:val="center"/>
        <w:tblLook w:val="04A0" w:firstRow="1" w:lastRow="0" w:firstColumn="1" w:lastColumn="0" w:noHBand="0" w:noVBand="1"/>
      </w:tblPr>
      <w:tblGrid>
        <w:gridCol w:w="1980"/>
        <w:gridCol w:w="2046"/>
        <w:gridCol w:w="2065"/>
      </w:tblGrid>
      <w:tr w:rsidR="005D3649" w:rsidRPr="0070296E" w14:paraId="7BE3941B" w14:textId="77777777" w:rsidTr="006731EC">
        <w:trPr>
          <w:jc w:val="center"/>
        </w:trPr>
        <w:tc>
          <w:tcPr>
            <w:tcW w:w="1980" w:type="dxa"/>
          </w:tcPr>
          <w:p w14:paraId="16A8A67B" w14:textId="77777777" w:rsidR="005D3649" w:rsidRPr="0070296E" w:rsidRDefault="005D3649">
            <w:pPr>
              <w:ind w:right="311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046" w:type="dxa"/>
            <w:vAlign w:val="center"/>
          </w:tcPr>
          <w:p w14:paraId="5F076D63" w14:textId="77777777" w:rsidR="005D3649" w:rsidRPr="0070296E" w:rsidRDefault="005D3649">
            <w:pPr>
              <w:ind w:right="311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0296E">
              <w:rPr>
                <w:b/>
                <w:bCs/>
                <w:sz w:val="18"/>
                <w:szCs w:val="18"/>
                <w:lang w:val="en-GB"/>
              </w:rPr>
              <w:t>Length-to-width ratio</w:t>
            </w:r>
          </w:p>
        </w:tc>
        <w:tc>
          <w:tcPr>
            <w:tcW w:w="2065" w:type="dxa"/>
            <w:vAlign w:val="center"/>
          </w:tcPr>
          <w:p w14:paraId="3AFC4B5A" w14:textId="77777777" w:rsidR="005D3649" w:rsidRPr="0070296E" w:rsidRDefault="005D3649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70296E">
              <w:rPr>
                <w:b/>
                <w:bCs/>
                <w:sz w:val="18"/>
                <w:szCs w:val="18"/>
                <w:lang w:val="en-GB"/>
              </w:rPr>
              <w:t>Size (µm)</w:t>
            </w:r>
          </w:p>
        </w:tc>
      </w:tr>
      <w:tr w:rsidR="005D3649" w:rsidRPr="0070296E" w14:paraId="1441F06E" w14:textId="77777777" w:rsidTr="006731EC">
        <w:trPr>
          <w:jc w:val="center"/>
        </w:trPr>
        <w:tc>
          <w:tcPr>
            <w:tcW w:w="1980" w:type="dxa"/>
          </w:tcPr>
          <w:p w14:paraId="64B5DCE6" w14:textId="77777777" w:rsidR="005D3649" w:rsidRPr="0070296E" w:rsidRDefault="005D3649">
            <w:pPr>
              <w:rPr>
                <w:b/>
                <w:bCs/>
                <w:sz w:val="18"/>
                <w:szCs w:val="18"/>
                <w:lang w:val="en-GB"/>
              </w:rPr>
            </w:pPr>
            <w:r w:rsidRPr="0070296E">
              <w:rPr>
                <w:b/>
                <w:bCs/>
                <w:sz w:val="18"/>
                <w:szCs w:val="18"/>
                <w:lang w:val="en-GB"/>
              </w:rPr>
              <w:t>Agglomeration</w:t>
            </w:r>
          </w:p>
        </w:tc>
        <w:tc>
          <w:tcPr>
            <w:tcW w:w="2046" w:type="dxa"/>
            <w:vAlign w:val="center"/>
          </w:tcPr>
          <w:p w14:paraId="2FE83E98" w14:textId="77777777" w:rsidR="005D3649" w:rsidRPr="0070296E" w:rsidRDefault="005D3649">
            <w:pPr>
              <w:ind w:right="311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 w:rsidRPr="0070296E">
              <w:rPr>
                <w:i/>
                <w:iCs/>
                <w:sz w:val="18"/>
                <w:szCs w:val="18"/>
                <w:lang w:val="en-GB"/>
              </w:rPr>
              <w:t>&lt; 3</w:t>
            </w:r>
          </w:p>
        </w:tc>
        <w:tc>
          <w:tcPr>
            <w:tcW w:w="2065" w:type="dxa"/>
            <w:vAlign w:val="center"/>
          </w:tcPr>
          <w:p w14:paraId="7BB61B4A" w14:textId="77777777" w:rsidR="005D3649" w:rsidRPr="0070296E" w:rsidRDefault="005D3649">
            <w:pPr>
              <w:jc w:val="center"/>
              <w:rPr>
                <w:sz w:val="18"/>
                <w:szCs w:val="18"/>
                <w:lang w:val="en-GB"/>
              </w:rPr>
            </w:pPr>
            <w:r w:rsidRPr="0070296E">
              <w:rPr>
                <w:sz w:val="18"/>
                <w:szCs w:val="18"/>
                <w:lang w:val="en-GB"/>
              </w:rPr>
              <w:t>30</w:t>
            </w:r>
          </w:p>
        </w:tc>
      </w:tr>
      <w:tr w:rsidR="005D3649" w:rsidRPr="0070296E" w14:paraId="217469DC" w14:textId="77777777" w:rsidTr="006731EC">
        <w:trPr>
          <w:trHeight w:val="60"/>
          <w:jc w:val="center"/>
        </w:trPr>
        <w:tc>
          <w:tcPr>
            <w:tcW w:w="1980" w:type="dxa"/>
          </w:tcPr>
          <w:p w14:paraId="40B159E4" w14:textId="77777777" w:rsidR="005D3649" w:rsidRPr="0070296E" w:rsidRDefault="005D3649">
            <w:pPr>
              <w:ind w:right="61"/>
              <w:rPr>
                <w:b/>
                <w:bCs/>
                <w:sz w:val="18"/>
                <w:szCs w:val="18"/>
                <w:lang w:val="en-GB"/>
              </w:rPr>
            </w:pPr>
            <w:r w:rsidRPr="0070296E">
              <w:rPr>
                <w:b/>
                <w:bCs/>
                <w:sz w:val="18"/>
                <w:szCs w:val="18"/>
                <w:lang w:val="en-GB"/>
              </w:rPr>
              <w:t>Cluster</w:t>
            </w:r>
          </w:p>
        </w:tc>
        <w:tc>
          <w:tcPr>
            <w:tcW w:w="2046" w:type="dxa"/>
            <w:vAlign w:val="center"/>
          </w:tcPr>
          <w:p w14:paraId="6ED266ED" w14:textId="77777777" w:rsidR="005D3649" w:rsidRPr="0070296E" w:rsidRDefault="005D3649">
            <w:pPr>
              <w:ind w:right="311"/>
              <w:jc w:val="center"/>
              <w:rPr>
                <w:sz w:val="18"/>
                <w:szCs w:val="18"/>
                <w:lang w:val="en-GB"/>
              </w:rPr>
            </w:pPr>
            <w:r w:rsidRPr="0070296E">
              <w:rPr>
                <w:i/>
                <w:iCs/>
                <w:sz w:val="18"/>
                <w:szCs w:val="18"/>
                <w:lang w:val="en-GB"/>
              </w:rPr>
              <w:t>≥ 3</w:t>
            </w:r>
          </w:p>
        </w:tc>
        <w:tc>
          <w:tcPr>
            <w:tcW w:w="2065" w:type="dxa"/>
            <w:vAlign w:val="center"/>
          </w:tcPr>
          <w:p w14:paraId="18C38FE8" w14:textId="77777777" w:rsidR="005D3649" w:rsidRPr="0070296E" w:rsidRDefault="005D3649">
            <w:pPr>
              <w:jc w:val="center"/>
              <w:rPr>
                <w:sz w:val="18"/>
                <w:szCs w:val="18"/>
                <w:lang w:val="en-GB"/>
              </w:rPr>
            </w:pPr>
            <w:r w:rsidRPr="0070296E">
              <w:rPr>
                <w:sz w:val="18"/>
                <w:szCs w:val="18"/>
                <w:lang w:val="en-GB"/>
              </w:rPr>
              <w:t>100</w:t>
            </w:r>
          </w:p>
        </w:tc>
      </w:tr>
      <w:tr w:rsidR="009E30E9" w:rsidRPr="0070296E" w14:paraId="41E207CD" w14:textId="77777777" w:rsidTr="006731EC">
        <w:trPr>
          <w:trHeight w:val="60"/>
          <w:jc w:val="center"/>
        </w:trPr>
        <w:tc>
          <w:tcPr>
            <w:tcW w:w="1980" w:type="dxa"/>
          </w:tcPr>
          <w:p w14:paraId="403B1B74" w14:textId="27701F5D" w:rsidR="009E30E9" w:rsidRPr="0070296E" w:rsidRDefault="009E30E9">
            <w:pPr>
              <w:ind w:right="61"/>
              <w:rPr>
                <w:b/>
                <w:bCs/>
                <w:sz w:val="18"/>
                <w:szCs w:val="18"/>
                <w:lang w:val="en-GB"/>
              </w:rPr>
            </w:pPr>
            <w:r w:rsidRPr="00317349">
              <w:rPr>
                <w:b/>
                <w:bCs/>
                <w:sz w:val="18"/>
                <w:szCs w:val="18"/>
                <w:lang w:val="en-GB"/>
              </w:rPr>
              <w:t>Oxide</w:t>
            </w:r>
            <w:r w:rsidR="000B6452" w:rsidRPr="00317349">
              <w:rPr>
                <w:b/>
                <w:bCs/>
                <w:sz w:val="18"/>
                <w:szCs w:val="18"/>
                <w:lang w:val="en-GB"/>
              </w:rPr>
              <w:t xml:space="preserve"> film</w:t>
            </w:r>
          </w:p>
        </w:tc>
        <w:tc>
          <w:tcPr>
            <w:tcW w:w="2046" w:type="dxa"/>
            <w:vAlign w:val="center"/>
          </w:tcPr>
          <w:p w14:paraId="3698FB52" w14:textId="06F4CA07" w:rsidR="009E30E9" w:rsidRPr="0070296E" w:rsidRDefault="009E30E9">
            <w:pPr>
              <w:ind w:right="311"/>
              <w:jc w:val="center"/>
              <w:rPr>
                <w:i/>
                <w:iCs/>
                <w:sz w:val="18"/>
                <w:szCs w:val="18"/>
                <w:lang w:val="en-GB"/>
              </w:rPr>
            </w:pPr>
            <w:r>
              <w:rPr>
                <w:i/>
                <w:iCs/>
                <w:sz w:val="18"/>
                <w:szCs w:val="18"/>
                <w:lang w:val="en-GB"/>
              </w:rPr>
              <w:t>-</w:t>
            </w:r>
          </w:p>
        </w:tc>
        <w:tc>
          <w:tcPr>
            <w:tcW w:w="2065" w:type="dxa"/>
            <w:vAlign w:val="center"/>
          </w:tcPr>
          <w:p w14:paraId="25EE4BE3" w14:textId="5EE98B19" w:rsidR="009E30E9" w:rsidRPr="0070296E" w:rsidRDefault="009E30E9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30</w:t>
            </w:r>
          </w:p>
        </w:tc>
      </w:tr>
    </w:tbl>
    <w:p w14:paraId="527EA281" w14:textId="3A32EEE3" w:rsidR="005D3649" w:rsidRPr="0070296E" w:rsidRDefault="005D3649" w:rsidP="0070296E">
      <w:pPr>
        <w:tabs>
          <w:tab w:val="left" w:pos="9618"/>
        </w:tabs>
        <w:spacing w:before="240" w:after="240"/>
        <w:ind w:left="828" w:right="312"/>
        <w:jc w:val="both"/>
        <w:rPr>
          <w:i/>
          <w:iCs/>
          <w:szCs w:val="22"/>
          <w:lang w:val="en-GB"/>
        </w:rPr>
      </w:pPr>
      <w:r w:rsidRPr="0070296E">
        <w:rPr>
          <w:i/>
          <w:iCs/>
          <w:szCs w:val="22"/>
          <w:lang w:val="en-GB"/>
        </w:rPr>
        <w:t>*Cluster is defined as strings or grid of particles with a distance between the edges of the particles of no more than 3 µm. Agglomeration” is defined as compact group of particles with a distance between the edges of the particles of no more than 3 µm. Furthermore, agglomerations may be distinguished from clusters by the aspect ratio (Length/Width). Cluster: ≥ 3, Agglomeration: &lt; 3.</w:t>
      </w:r>
    </w:p>
    <w:p w14:paraId="61096CA7" w14:textId="77777777" w:rsidR="005D3649" w:rsidRPr="0070296E" w:rsidRDefault="005D3649" w:rsidP="005D3649">
      <w:pPr>
        <w:pStyle w:val="Odstavecseseznamem"/>
        <w:spacing w:line="360" w:lineRule="auto"/>
        <w:ind w:right="311"/>
        <w:jc w:val="both"/>
        <w:rPr>
          <w:szCs w:val="22"/>
          <w:u w:val="single"/>
          <w:lang w:val="en-GB"/>
        </w:rPr>
      </w:pPr>
      <w:r w:rsidRPr="0070296E">
        <w:rPr>
          <w:szCs w:val="22"/>
          <w:u w:val="single"/>
          <w:lang w:val="en-GB"/>
        </w:rPr>
        <w:t>Microstructure examination:</w:t>
      </w:r>
    </w:p>
    <w:p w14:paraId="2B07388F" w14:textId="59343DC1" w:rsidR="009E30E9" w:rsidRDefault="005D3649" w:rsidP="005943E1">
      <w:pPr>
        <w:pStyle w:val="Odstavecseseznamem"/>
        <w:ind w:right="311"/>
        <w:jc w:val="both"/>
        <w:rPr>
          <w:szCs w:val="22"/>
          <w:lang w:val="en-GB"/>
        </w:rPr>
      </w:pPr>
      <w:r w:rsidRPr="0070296E">
        <w:rPr>
          <w:szCs w:val="22"/>
          <w:lang w:val="en-GB"/>
        </w:rPr>
        <w:t>A polished unetched sample surface will be examined for TiB/</w:t>
      </w:r>
      <w:proofErr w:type="spellStart"/>
      <w:r w:rsidRPr="0070296E">
        <w:rPr>
          <w:szCs w:val="22"/>
          <w:lang w:val="en-GB"/>
        </w:rPr>
        <w:t>TiC</w:t>
      </w:r>
      <w:proofErr w:type="spellEnd"/>
      <w:r w:rsidRPr="0070296E">
        <w:rPr>
          <w:szCs w:val="22"/>
          <w:lang w:val="en-GB"/>
        </w:rPr>
        <w:t xml:space="preserve">, </w:t>
      </w:r>
      <w:r w:rsidR="0070296E" w:rsidRPr="0070296E">
        <w:rPr>
          <w:szCs w:val="22"/>
          <w:lang w:val="en-GB"/>
        </w:rPr>
        <w:t>inclusions</w:t>
      </w:r>
      <w:r w:rsidRPr="0070296E">
        <w:rPr>
          <w:szCs w:val="22"/>
          <w:lang w:val="en-GB"/>
        </w:rPr>
        <w:t xml:space="preserve">, porosity and other comparable inhomogeneities at a </w:t>
      </w:r>
      <w:r w:rsidR="0070296E" w:rsidRPr="0070296E">
        <w:rPr>
          <w:szCs w:val="22"/>
          <w:lang w:val="en-GB"/>
        </w:rPr>
        <w:t>magnification</w:t>
      </w:r>
      <w:r w:rsidRPr="0070296E">
        <w:rPr>
          <w:szCs w:val="22"/>
          <w:lang w:val="en-GB"/>
        </w:rPr>
        <w:t xml:space="preserve"> of 50</w:t>
      </w:r>
      <w:r w:rsidR="0070296E" w:rsidRPr="0070296E">
        <w:rPr>
          <w:szCs w:val="22"/>
          <w:lang w:val="en-GB"/>
        </w:rPr>
        <w:t>x</w:t>
      </w:r>
      <w:r w:rsidRPr="0070296E">
        <w:rPr>
          <w:szCs w:val="22"/>
          <w:lang w:val="en-GB"/>
        </w:rPr>
        <w:t xml:space="preserve">. Metallographic images for a detailed documentation will be done at a </w:t>
      </w:r>
      <w:r w:rsidR="0070296E" w:rsidRPr="0070296E">
        <w:rPr>
          <w:szCs w:val="22"/>
          <w:lang w:val="en-GB"/>
        </w:rPr>
        <w:t>magnification</w:t>
      </w:r>
      <w:r w:rsidRPr="0070296E">
        <w:rPr>
          <w:szCs w:val="22"/>
          <w:lang w:val="en-GB"/>
        </w:rPr>
        <w:t xml:space="preserve"> of 200x or more.</w:t>
      </w:r>
    </w:p>
    <w:p w14:paraId="109B9E2E" w14:textId="77777777" w:rsidR="005D3649" w:rsidRPr="0070296E" w:rsidRDefault="005D3649" w:rsidP="005D3649">
      <w:pPr>
        <w:pStyle w:val="Odstavecseseznamem"/>
        <w:ind w:right="311"/>
        <w:jc w:val="both"/>
        <w:rPr>
          <w:szCs w:val="22"/>
          <w:lang w:val="en-GB"/>
        </w:rPr>
      </w:pPr>
    </w:p>
    <w:p w14:paraId="50C01356" w14:textId="77777777" w:rsidR="005D3649" w:rsidRPr="0070296E" w:rsidRDefault="005D3649" w:rsidP="005D3649">
      <w:pPr>
        <w:pStyle w:val="Odstavecseseznamem"/>
        <w:ind w:right="311"/>
        <w:jc w:val="both"/>
        <w:rPr>
          <w:szCs w:val="22"/>
          <w:lang w:val="en-GB"/>
        </w:rPr>
      </w:pPr>
    </w:p>
    <w:p w14:paraId="73B2B23D" w14:textId="77777777" w:rsidR="005D3649" w:rsidRPr="0070296E" w:rsidRDefault="005D3649" w:rsidP="005D3649">
      <w:pPr>
        <w:pStyle w:val="Odstavecseseznamem"/>
        <w:spacing w:line="360" w:lineRule="auto"/>
        <w:ind w:right="311"/>
        <w:jc w:val="both"/>
        <w:rPr>
          <w:szCs w:val="22"/>
          <w:u w:val="single"/>
          <w:lang w:val="en-GB"/>
        </w:rPr>
      </w:pPr>
      <w:r w:rsidRPr="0070296E">
        <w:rPr>
          <w:szCs w:val="22"/>
          <w:u w:val="single"/>
          <w:lang w:val="en-GB"/>
        </w:rPr>
        <w:t>Minimum inspection frequency:</w:t>
      </w:r>
    </w:p>
    <w:p w14:paraId="296CD2DC" w14:textId="6830A63C" w:rsidR="005D3649" w:rsidRPr="0070296E" w:rsidRDefault="009E30E9" w:rsidP="005D3649">
      <w:pPr>
        <w:pStyle w:val="Odstavecseseznamem"/>
        <w:jc w:val="both"/>
        <w:rPr>
          <w:szCs w:val="22"/>
          <w:lang w:val="en-GB"/>
        </w:rPr>
      </w:pPr>
      <w:r>
        <w:rPr>
          <w:szCs w:val="22"/>
          <w:lang w:val="en-GB"/>
        </w:rPr>
        <w:t>At least one</w:t>
      </w:r>
      <w:r w:rsidR="005D3649" w:rsidRPr="0070296E">
        <w:rPr>
          <w:szCs w:val="22"/>
          <w:lang w:val="en-GB"/>
        </w:rPr>
        <w:t xml:space="preserve"> sample</w:t>
      </w:r>
      <w:r>
        <w:rPr>
          <w:szCs w:val="22"/>
          <w:lang w:val="en-GB"/>
        </w:rPr>
        <w:t xml:space="preserve"> from each strand per batch need to be analysed. </w:t>
      </w:r>
    </w:p>
    <w:p w14:paraId="7218E187" w14:textId="072E0BC8" w:rsidR="005D3649" w:rsidRPr="0070296E" w:rsidRDefault="005D3649">
      <w:pPr>
        <w:spacing w:after="160" w:line="259" w:lineRule="auto"/>
        <w:rPr>
          <w:lang w:val="en-GB"/>
        </w:rPr>
      </w:pPr>
      <w:r w:rsidRPr="0070296E">
        <w:rPr>
          <w:lang w:val="en-GB"/>
        </w:rPr>
        <w:br w:type="page"/>
      </w:r>
    </w:p>
    <w:p w14:paraId="0973447E" w14:textId="190A8AEF" w:rsidR="005D3649" w:rsidRPr="0070296E" w:rsidRDefault="005D3649" w:rsidP="0070296E">
      <w:pPr>
        <w:pStyle w:val="Nadpis3"/>
        <w:rPr>
          <w:lang w:val="en-GB"/>
        </w:rPr>
      </w:pPr>
      <w:r w:rsidRPr="0070296E">
        <w:rPr>
          <w:lang w:val="en-GB"/>
        </w:rPr>
        <w:lastRenderedPageBreak/>
        <w:t>Surface quality</w:t>
      </w:r>
      <w:r w:rsidR="00E872D5">
        <w:rPr>
          <w:lang w:val="en-GB"/>
        </w:rPr>
        <w:t xml:space="preserve"> </w:t>
      </w:r>
      <w:r w:rsidR="00140E2A" w:rsidRPr="00317349">
        <w:rPr>
          <w:lang w:val="en-GB"/>
        </w:rPr>
        <w:t>after peeling</w:t>
      </w:r>
    </w:p>
    <w:p w14:paraId="6484C363" w14:textId="77777777" w:rsidR="005D3649" w:rsidRPr="0070296E" w:rsidRDefault="005D3649" w:rsidP="0070296E">
      <w:pPr>
        <w:pStyle w:val="Text"/>
        <w:rPr>
          <w:rFonts w:eastAsia="Calibri"/>
        </w:rPr>
      </w:pPr>
      <w:r w:rsidRPr="0070296E">
        <w:rPr>
          <w:rFonts w:eastAsia="Calibri"/>
        </w:rPr>
        <w:t>Surface appearance – examined by visual control and surface roughness measurement.</w:t>
      </w:r>
    </w:p>
    <w:p w14:paraId="021FA832" w14:textId="2359075F" w:rsidR="005D3649" w:rsidRPr="00482280" w:rsidRDefault="00303112" w:rsidP="0070296E">
      <w:pPr>
        <w:pStyle w:val="Text"/>
        <w:rPr>
          <w:rFonts w:eastAsia="Calibri"/>
        </w:rPr>
      </w:pPr>
      <w:r>
        <w:rPr>
          <w:rFonts w:eastAsia="Calibri"/>
        </w:rPr>
        <w:t xml:space="preserve">A smooth, uniform </w:t>
      </w:r>
      <w:r w:rsidR="00353661">
        <w:rPr>
          <w:rFonts w:eastAsia="Calibri"/>
        </w:rPr>
        <w:t xml:space="preserve">surface is required after </w:t>
      </w:r>
      <w:r w:rsidR="00E872D5">
        <w:rPr>
          <w:rFonts w:eastAsia="Calibri"/>
        </w:rPr>
        <w:t>peeling</w:t>
      </w:r>
      <w:r w:rsidR="00353661">
        <w:rPr>
          <w:rFonts w:eastAsia="Calibri"/>
        </w:rPr>
        <w:t xml:space="preserve"> as defined by the following:</w:t>
      </w:r>
    </w:p>
    <w:p w14:paraId="77D50A4C" w14:textId="673BE971" w:rsidR="00E0496C" w:rsidRPr="00482280" w:rsidRDefault="00E0496C" w:rsidP="00E0496C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482280">
        <w:rPr>
          <w:szCs w:val="22"/>
          <w:lang w:val="en-GB"/>
        </w:rPr>
        <w:t xml:space="preserve">No remaining thick ribbed, serrated and / or sharp-edged contours. </w:t>
      </w:r>
    </w:p>
    <w:p w14:paraId="138434B3" w14:textId="7141793D" w:rsidR="005D3649" w:rsidRPr="00482280" w:rsidRDefault="005D3649" w:rsidP="005D3649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482280">
        <w:rPr>
          <w:szCs w:val="22"/>
          <w:lang w:val="en-GB"/>
        </w:rPr>
        <w:t>No remaining single spot defects and coherent zones of incomplete solidification</w:t>
      </w:r>
    </w:p>
    <w:p w14:paraId="6FFDC5C9" w14:textId="7D12DB9A" w:rsidR="006A622D" w:rsidRPr="00482280" w:rsidRDefault="005D3649" w:rsidP="005D3649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482280">
        <w:rPr>
          <w:szCs w:val="22"/>
          <w:lang w:val="en-GB"/>
        </w:rPr>
        <w:t xml:space="preserve">No remaining irregular bandings or drags in </w:t>
      </w:r>
      <w:r w:rsidR="00BA6F6C">
        <w:rPr>
          <w:szCs w:val="22"/>
          <w:lang w:val="en-GB"/>
        </w:rPr>
        <w:t>billet</w:t>
      </w:r>
      <w:r w:rsidRPr="00482280">
        <w:rPr>
          <w:szCs w:val="22"/>
          <w:lang w:val="en-GB"/>
        </w:rPr>
        <w:t xml:space="preserve"> casting direction (longitudinal)</w:t>
      </w:r>
    </w:p>
    <w:p w14:paraId="0E68ACDD" w14:textId="14893D35" w:rsidR="005D3649" w:rsidRPr="00482280" w:rsidRDefault="005D3649" w:rsidP="005D3649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482280">
        <w:rPr>
          <w:szCs w:val="22"/>
          <w:lang w:val="en-GB"/>
        </w:rPr>
        <w:t xml:space="preserve">No remaining shell including the (inverse) segregation zone. Bergmann zones are generally not </w:t>
      </w:r>
      <w:proofErr w:type="gramStart"/>
      <w:r w:rsidRPr="00482280">
        <w:rPr>
          <w:szCs w:val="22"/>
          <w:lang w:val="en-GB"/>
        </w:rPr>
        <w:t>acceptable</w:t>
      </w:r>
      <w:proofErr w:type="gramEnd"/>
    </w:p>
    <w:p w14:paraId="31F1CFAB" w14:textId="7992BF3C" w:rsidR="005D3649" w:rsidRPr="00F84099" w:rsidRDefault="005D3649" w:rsidP="005D3649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482280">
        <w:rPr>
          <w:szCs w:val="22"/>
          <w:lang w:val="en-GB"/>
        </w:rPr>
        <w:t>Surface roughness</w:t>
      </w:r>
      <w:r w:rsidR="00611AA9">
        <w:rPr>
          <w:szCs w:val="22"/>
          <w:lang w:val="en-GB"/>
        </w:rPr>
        <w:t xml:space="preserve"> after peeling</w:t>
      </w:r>
      <w:r w:rsidRPr="00482280">
        <w:rPr>
          <w:szCs w:val="22"/>
          <w:lang w:val="en-GB"/>
        </w:rPr>
        <w:t>:</w:t>
      </w:r>
      <w:r w:rsidR="00F84099">
        <w:rPr>
          <w:szCs w:val="22"/>
          <w:lang w:val="en-GB"/>
        </w:rPr>
        <w:t xml:space="preserve"> </w:t>
      </w:r>
      <w:r w:rsidR="00E1258A" w:rsidRPr="00F84099">
        <w:rPr>
          <w:szCs w:val="22"/>
          <w:lang w:val="en-GB"/>
        </w:rPr>
        <w:t>R</w:t>
      </w:r>
      <w:r w:rsidR="00E1258A" w:rsidRPr="00F84099">
        <w:rPr>
          <w:szCs w:val="22"/>
          <w:vertAlign w:val="subscript"/>
          <w:lang w:val="en-GB"/>
        </w:rPr>
        <w:t>z &lt;</w:t>
      </w:r>
      <w:r w:rsidRPr="00F84099">
        <w:rPr>
          <w:szCs w:val="22"/>
          <w:lang w:val="en-GB"/>
        </w:rPr>
        <w:t xml:space="preserve"> </w:t>
      </w:r>
      <w:r w:rsidR="00241BDB">
        <w:rPr>
          <w:szCs w:val="22"/>
          <w:lang w:val="en-GB"/>
        </w:rPr>
        <w:t>10</w:t>
      </w:r>
      <w:r w:rsidRPr="00F84099">
        <w:rPr>
          <w:color w:val="FF0000"/>
          <w:szCs w:val="22"/>
          <w:lang w:val="en-GB"/>
        </w:rPr>
        <w:t xml:space="preserve"> </w:t>
      </w:r>
      <w:r w:rsidRPr="00F84099">
        <w:rPr>
          <w:szCs w:val="22"/>
          <w:lang w:val="en-GB"/>
        </w:rPr>
        <w:t>µm,</w:t>
      </w:r>
      <w:r w:rsidR="00E81FF0" w:rsidRPr="00F84099">
        <w:rPr>
          <w:szCs w:val="22"/>
          <w:lang w:val="en-GB"/>
        </w:rPr>
        <w:t xml:space="preserve"> </w:t>
      </w:r>
      <w:r w:rsidRPr="00F84099">
        <w:rPr>
          <w:szCs w:val="22"/>
          <w:lang w:val="en-GB"/>
        </w:rPr>
        <w:t xml:space="preserve">locally single max. </w:t>
      </w:r>
      <w:r w:rsidRPr="00F84099">
        <w:rPr>
          <w:szCs w:val="22"/>
          <w:lang w:val="pl-PL"/>
        </w:rPr>
        <w:t>R</w:t>
      </w:r>
      <w:r w:rsidRPr="00F84099">
        <w:rPr>
          <w:szCs w:val="22"/>
          <w:vertAlign w:val="subscript"/>
          <w:lang w:val="pl-PL"/>
        </w:rPr>
        <w:t>m</w:t>
      </w:r>
      <w:r w:rsidRPr="00F84099">
        <w:rPr>
          <w:szCs w:val="22"/>
          <w:lang w:val="pl-PL"/>
        </w:rPr>
        <w:t xml:space="preserve"> </w:t>
      </w:r>
      <w:r w:rsidR="00611AA9" w:rsidRPr="00F84099">
        <w:rPr>
          <w:szCs w:val="22"/>
          <w:lang w:val="pl-PL"/>
        </w:rPr>
        <w:t>15</w:t>
      </w:r>
      <w:r w:rsidRPr="00F84099">
        <w:rPr>
          <w:szCs w:val="22"/>
          <w:lang w:val="pl-PL"/>
        </w:rPr>
        <w:t xml:space="preserve"> µm</w:t>
      </w:r>
      <w:r w:rsidR="00284598" w:rsidRPr="00F84099">
        <w:rPr>
          <w:szCs w:val="22"/>
          <w:lang w:val="pl-PL"/>
        </w:rPr>
        <w:t>, R</w:t>
      </w:r>
      <w:r w:rsidR="00284598" w:rsidRPr="00F84099">
        <w:rPr>
          <w:szCs w:val="22"/>
          <w:vertAlign w:val="subscript"/>
          <w:lang w:val="pl-PL"/>
        </w:rPr>
        <w:t>a</w:t>
      </w:r>
      <w:r w:rsidR="00284598" w:rsidRPr="00F84099">
        <w:rPr>
          <w:szCs w:val="22"/>
          <w:lang w:val="pl-PL"/>
        </w:rPr>
        <w:t xml:space="preserve"> &lt; 1,7 µm</w:t>
      </w:r>
    </w:p>
    <w:p w14:paraId="09EEDE85" w14:textId="4D90131F" w:rsidR="00E81FF0" w:rsidRDefault="00E81FF0" w:rsidP="00E81FF0">
      <w:pPr>
        <w:pStyle w:val="Titulek"/>
        <w:keepNext/>
        <w:jc w:val="center"/>
      </w:pPr>
      <w:r>
        <w:t xml:space="preserve">Table 6 - </w:t>
      </w:r>
      <w:proofErr w:type="spellStart"/>
      <w:r>
        <w:t>Recommended</w:t>
      </w:r>
      <w:proofErr w:type="spellEnd"/>
      <w:r>
        <w:t xml:space="preserve"> </w:t>
      </w:r>
      <w:proofErr w:type="spellStart"/>
      <w:r>
        <w:t>Cut-off</w:t>
      </w:r>
      <w:proofErr w:type="spellEnd"/>
      <w:r>
        <w:t xml:space="preserve"> (ISO 4288-1996)</w:t>
      </w:r>
    </w:p>
    <w:p w14:paraId="7640E070" w14:textId="31EF1D80" w:rsidR="00E81FF0" w:rsidRPr="0070296E" w:rsidRDefault="00E81FF0" w:rsidP="00E81FF0">
      <w:pPr>
        <w:pStyle w:val="Odstavecseseznamem"/>
        <w:spacing w:line="360" w:lineRule="auto"/>
        <w:jc w:val="center"/>
        <w:rPr>
          <w:i/>
          <w:iCs/>
          <w:szCs w:val="22"/>
          <w:lang w:val="en-GB"/>
        </w:rPr>
      </w:pPr>
      <w:r>
        <w:rPr>
          <w:noProof/>
          <w:color w:val="FF0000"/>
        </w:rPr>
        <w:drawing>
          <wp:inline distT="0" distB="0" distL="0" distR="0" wp14:anchorId="3D4B983C" wp14:editId="181BFC62">
            <wp:extent cx="3666490" cy="23431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8DE6BE" w14:textId="384B8A35" w:rsidR="006A622D" w:rsidRDefault="006A622D">
      <w:pPr>
        <w:spacing w:after="160" w:line="259" w:lineRule="auto"/>
        <w:rPr>
          <w:szCs w:val="22"/>
          <w:lang w:val="en-GB"/>
        </w:rPr>
      </w:pPr>
    </w:p>
    <w:p w14:paraId="5B377A8B" w14:textId="44FEACF1" w:rsidR="006A622D" w:rsidRPr="006A622D" w:rsidRDefault="005D3649" w:rsidP="005D3649">
      <w:pPr>
        <w:pStyle w:val="Odstavecseseznamem"/>
        <w:numPr>
          <w:ilvl w:val="0"/>
          <w:numId w:val="4"/>
        </w:numPr>
        <w:spacing w:before="120" w:after="60" w:line="360" w:lineRule="auto"/>
        <w:jc w:val="both"/>
        <w:rPr>
          <w:szCs w:val="22"/>
          <w:lang w:val="en-GB"/>
        </w:rPr>
      </w:pPr>
      <w:r w:rsidRPr="0070296E">
        <w:rPr>
          <w:szCs w:val="22"/>
          <w:lang w:val="en-GB"/>
        </w:rPr>
        <w:t>Not allowed</w:t>
      </w:r>
      <w:r w:rsidR="006A622D">
        <w:rPr>
          <w:szCs w:val="22"/>
          <w:lang w:val="en-GB"/>
        </w:rPr>
        <w:t xml:space="preserve"> after peeling</w:t>
      </w:r>
      <w:r w:rsidRPr="0070296E">
        <w:rPr>
          <w:szCs w:val="22"/>
          <w:lang w:val="en-GB"/>
        </w:rPr>
        <w:t xml:space="preserve">: </w:t>
      </w:r>
    </w:p>
    <w:p w14:paraId="6764AD4A" w14:textId="581B49AF" w:rsidR="00E81FF0" w:rsidRPr="006A622D" w:rsidRDefault="005D3649" w:rsidP="005D3649">
      <w:pPr>
        <w:pStyle w:val="Odstavecseseznamem"/>
        <w:spacing w:line="360" w:lineRule="auto"/>
        <w:jc w:val="both"/>
        <w:rPr>
          <w:szCs w:val="22"/>
          <w:lang w:val="en-GB"/>
        </w:rPr>
      </w:pPr>
      <w:r w:rsidRPr="0070296E">
        <w:rPr>
          <w:szCs w:val="22"/>
          <w:lang w:val="en-GB"/>
        </w:rPr>
        <w:t>Inclusions</w:t>
      </w:r>
      <w:r w:rsidR="006A622D">
        <w:rPr>
          <w:szCs w:val="22"/>
          <w:lang w:val="en-GB"/>
        </w:rPr>
        <w:t>,</w:t>
      </w:r>
      <w:r w:rsidRPr="0070296E">
        <w:rPr>
          <w:szCs w:val="22"/>
          <w:lang w:val="en-GB"/>
        </w:rPr>
        <w:t xml:space="preserve"> cold shuts, entrapped oxide skins, oxide releases with negative impact on the microstructure</w:t>
      </w:r>
      <w:r w:rsidRPr="0070296E">
        <w:rPr>
          <w:strike/>
          <w:szCs w:val="22"/>
          <w:lang w:val="en-GB"/>
        </w:rPr>
        <w:t xml:space="preserve">, </w:t>
      </w:r>
      <w:r w:rsidRPr="00CA6FF6">
        <w:rPr>
          <w:szCs w:val="22"/>
          <w:lang w:val="en-GB"/>
        </w:rPr>
        <w:t xml:space="preserve">shark bites, tears transverse to the </w:t>
      </w:r>
      <w:r w:rsidR="00BA6F6C">
        <w:rPr>
          <w:szCs w:val="22"/>
          <w:lang w:val="en-GB"/>
        </w:rPr>
        <w:t>billet</w:t>
      </w:r>
      <w:r w:rsidRPr="00CA6FF6">
        <w:rPr>
          <w:szCs w:val="22"/>
          <w:lang w:val="en-GB"/>
        </w:rPr>
        <w:t xml:space="preserve"> length, surface cracks, blisters, any </w:t>
      </w:r>
      <w:proofErr w:type="gramStart"/>
      <w:r w:rsidRPr="00CA6FF6">
        <w:rPr>
          <w:szCs w:val="22"/>
          <w:lang w:val="en-GB"/>
        </w:rPr>
        <w:t>impurities</w:t>
      </w:r>
      <w:proofErr w:type="gramEnd"/>
      <w:r w:rsidRPr="00CA6FF6">
        <w:rPr>
          <w:szCs w:val="22"/>
          <w:lang w:val="en-GB"/>
        </w:rPr>
        <w:t xml:space="preserve"> or mechanical damage, grinding.</w:t>
      </w:r>
    </w:p>
    <w:p w14:paraId="73736019" w14:textId="77777777" w:rsidR="00F84099" w:rsidRDefault="00F84099">
      <w:pPr>
        <w:spacing w:after="160" w:line="259" w:lineRule="auto"/>
        <w:rPr>
          <w:rFonts w:eastAsiaTheme="majorEastAsia" w:cstheme="majorBidi"/>
          <w:b/>
          <w:sz w:val="24"/>
          <w:szCs w:val="24"/>
          <w:lang w:val="en-GB" w:eastAsia="cs-CZ"/>
        </w:rPr>
      </w:pPr>
      <w:r>
        <w:rPr>
          <w:lang w:val="en-GB" w:eastAsia="cs-CZ"/>
        </w:rPr>
        <w:br w:type="page"/>
      </w:r>
    </w:p>
    <w:p w14:paraId="029EB40C" w14:textId="4501DC75" w:rsidR="005D3649" w:rsidRPr="0070296E" w:rsidRDefault="005D3649" w:rsidP="0070296E">
      <w:pPr>
        <w:pStyle w:val="Nadpis3"/>
        <w:rPr>
          <w:lang w:val="en-GB" w:eastAsia="cs-CZ"/>
        </w:rPr>
      </w:pPr>
      <w:r w:rsidRPr="0070296E">
        <w:rPr>
          <w:lang w:val="en-GB" w:eastAsia="cs-CZ"/>
        </w:rPr>
        <w:lastRenderedPageBreak/>
        <w:t>Dimensional tolerances</w:t>
      </w:r>
    </w:p>
    <w:p w14:paraId="1D6DDA3F" w14:textId="77777777" w:rsidR="005D3649" w:rsidRPr="0070296E" w:rsidRDefault="005D3649" w:rsidP="005D3649">
      <w:pPr>
        <w:rPr>
          <w:szCs w:val="22"/>
          <w:u w:val="single"/>
          <w:lang w:val="en-GB"/>
        </w:rPr>
      </w:pPr>
      <w:r w:rsidRPr="0070296E">
        <w:rPr>
          <w:szCs w:val="22"/>
          <w:u w:val="single"/>
          <w:lang w:val="en-GB"/>
        </w:rPr>
        <w:t>Length:</w:t>
      </w:r>
    </w:p>
    <w:p w14:paraId="1A5A6AF9" w14:textId="100CF9B0" w:rsidR="005D3649" w:rsidRPr="00626381" w:rsidRDefault="005D3649" w:rsidP="005D3649">
      <w:pPr>
        <w:pStyle w:val="Odstavecseseznamem"/>
        <w:numPr>
          <w:ilvl w:val="0"/>
          <w:numId w:val="4"/>
        </w:numPr>
        <w:spacing w:before="120" w:after="60"/>
        <w:jc w:val="both"/>
        <w:rPr>
          <w:szCs w:val="22"/>
          <w:lang w:val="en-GB"/>
        </w:rPr>
      </w:pPr>
      <w:r w:rsidRPr="00626381">
        <w:rPr>
          <w:szCs w:val="22"/>
          <w:lang w:val="en-GB"/>
        </w:rPr>
        <w:t xml:space="preserve">Standard length of </w:t>
      </w:r>
      <w:r w:rsidR="00BA6F6C">
        <w:rPr>
          <w:szCs w:val="22"/>
          <w:lang w:val="en-GB"/>
        </w:rPr>
        <w:t>billet</w:t>
      </w:r>
      <w:r w:rsidRPr="00626381">
        <w:rPr>
          <w:szCs w:val="22"/>
          <w:lang w:val="en-GB"/>
        </w:rPr>
        <w:t>: 4500–6000 mm +</w:t>
      </w:r>
      <w:r w:rsidR="00B161BA" w:rsidRPr="00626381">
        <w:rPr>
          <w:szCs w:val="22"/>
          <w:lang w:val="en-GB"/>
        </w:rPr>
        <w:t>6</w:t>
      </w:r>
      <w:r w:rsidRPr="00626381">
        <w:rPr>
          <w:szCs w:val="22"/>
          <w:lang w:val="en-GB"/>
        </w:rPr>
        <w:t>/-0 mm</w:t>
      </w:r>
    </w:p>
    <w:p w14:paraId="19C692E6" w14:textId="3DBFD2AB" w:rsidR="005D3649" w:rsidRPr="00626381" w:rsidRDefault="005D3649" w:rsidP="0070296E">
      <w:pPr>
        <w:pStyle w:val="Titulek"/>
        <w:jc w:val="center"/>
        <w:rPr>
          <w:lang w:val="en-GB"/>
        </w:rPr>
      </w:pPr>
      <w:r w:rsidRPr="00626381">
        <w:rPr>
          <w:lang w:val="en-GB"/>
        </w:rPr>
        <w:t xml:space="preserve">Table </w:t>
      </w:r>
      <w:r w:rsidR="00E81FF0" w:rsidRPr="00626381">
        <w:rPr>
          <w:lang w:val="en-GB"/>
        </w:rPr>
        <w:t>7</w:t>
      </w:r>
      <w:r w:rsidRPr="00626381">
        <w:rPr>
          <w:lang w:val="en-GB"/>
        </w:rPr>
        <w:t xml:space="preserve"> </w:t>
      </w:r>
      <w:r w:rsidRPr="00626381">
        <w:rPr>
          <w:b w:val="0"/>
          <w:bCs/>
          <w:lang w:val="en-GB"/>
        </w:rPr>
        <w:t xml:space="preserve">Tolerances of </w:t>
      </w:r>
      <w:r w:rsidR="00BA6F6C">
        <w:rPr>
          <w:b w:val="0"/>
          <w:bCs/>
          <w:lang w:val="en-GB"/>
        </w:rPr>
        <w:t>billet</w:t>
      </w:r>
      <w:r w:rsidRPr="00626381">
        <w:rPr>
          <w:b w:val="0"/>
          <w:bCs/>
          <w:lang w:val="en-GB"/>
        </w:rPr>
        <w:t xml:space="preserve"> diameter</w:t>
      </w:r>
    </w:p>
    <w:tbl>
      <w:tblPr>
        <w:tblW w:w="41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2068"/>
      </w:tblGrid>
      <w:tr w:rsidR="005D3649" w:rsidRPr="00626381" w14:paraId="423FC47F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71FE3D1F" w14:textId="72F046C1" w:rsidR="005D3649" w:rsidRPr="00626381" w:rsidRDefault="00BA6F6C">
            <w:pPr>
              <w:jc w:val="center"/>
              <w:rPr>
                <w:b/>
                <w:bCs/>
                <w:color w:val="000000"/>
                <w:sz w:val="18"/>
                <w:szCs w:val="16"/>
                <w:lang w:val="en-GB"/>
              </w:rPr>
            </w:pPr>
            <w:bookmarkStart w:id="1" w:name="OLE_LINK1"/>
            <w:r>
              <w:rPr>
                <w:b/>
                <w:bCs/>
                <w:color w:val="000000"/>
                <w:sz w:val="18"/>
                <w:szCs w:val="16"/>
                <w:lang w:val="en-GB"/>
              </w:rPr>
              <w:t>Billet</w:t>
            </w:r>
            <w:r w:rsidR="005D3649" w:rsidRPr="00626381">
              <w:rPr>
                <w:b/>
                <w:bCs/>
                <w:color w:val="000000"/>
                <w:sz w:val="18"/>
                <w:szCs w:val="16"/>
                <w:lang w:val="en-GB"/>
              </w:rPr>
              <w:t xml:space="preserve"> diameter [mm]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417BB79C" w14:textId="77777777" w:rsidR="005D3649" w:rsidRPr="00626381" w:rsidRDefault="005D3649">
            <w:pPr>
              <w:jc w:val="center"/>
              <w:rPr>
                <w:b/>
                <w:bCs/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b/>
                <w:bCs/>
                <w:color w:val="000000"/>
                <w:sz w:val="18"/>
                <w:szCs w:val="16"/>
                <w:lang w:val="en-GB"/>
              </w:rPr>
              <w:t>Tolerances [mm]</w:t>
            </w:r>
          </w:p>
        </w:tc>
      </w:tr>
      <w:tr w:rsidR="005D3649" w:rsidRPr="00626381" w14:paraId="39D1C7B6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23621A66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≥45–55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059B81DE" w14:textId="2DCD0F56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  <w:tr w:rsidR="005D3649" w:rsidRPr="00626381" w14:paraId="40CB50EE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FE77572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&gt;55–65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2D917892" w14:textId="7F5DB2CA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  <w:tr w:rsidR="005D3649" w:rsidRPr="00626381" w14:paraId="78987CB8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52EC96C6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&gt;65–80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5960FB60" w14:textId="280596E3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  <w:tr w:rsidR="005D3649" w:rsidRPr="00626381" w14:paraId="0DD14C14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0CF59FCC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&gt;80–100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46001FD0" w14:textId="6B0B975A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  <w:tr w:rsidR="005D3649" w:rsidRPr="00626381" w14:paraId="3E54778C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316042C1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&gt;100–120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54EDB563" w14:textId="73675AB2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  <w:tr w:rsidR="005D3649" w:rsidRPr="0070296E" w14:paraId="509291DF" w14:textId="77777777" w:rsidTr="00A808D2">
        <w:trPr>
          <w:trHeight w:val="300"/>
          <w:jc w:val="center"/>
        </w:trPr>
        <w:tc>
          <w:tcPr>
            <w:tcW w:w="2070" w:type="dxa"/>
            <w:shd w:val="clear" w:color="auto" w:fill="auto"/>
            <w:noWrap/>
            <w:vAlign w:val="bottom"/>
            <w:hideMark/>
          </w:tcPr>
          <w:p w14:paraId="497B14DE" w14:textId="77777777" w:rsidR="005D3649" w:rsidRPr="00626381" w:rsidRDefault="005D3649">
            <w:pPr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≥120</w:t>
            </w:r>
          </w:p>
        </w:tc>
        <w:tc>
          <w:tcPr>
            <w:tcW w:w="2068" w:type="dxa"/>
            <w:shd w:val="clear" w:color="auto" w:fill="auto"/>
            <w:noWrap/>
            <w:vAlign w:val="bottom"/>
            <w:hideMark/>
          </w:tcPr>
          <w:p w14:paraId="11DC6EC7" w14:textId="653E987F" w:rsidR="00E81FF0" w:rsidRPr="0070296E" w:rsidRDefault="005D3649">
            <w:pPr>
              <w:keepNext/>
              <w:jc w:val="center"/>
              <w:rPr>
                <w:color w:val="000000"/>
                <w:sz w:val="18"/>
                <w:szCs w:val="16"/>
                <w:lang w:val="en-GB"/>
              </w:rPr>
            </w:pPr>
            <w:r w:rsidRPr="00626381">
              <w:rPr>
                <w:color w:val="000000"/>
                <w:sz w:val="18"/>
                <w:szCs w:val="16"/>
                <w:lang w:val="en-GB"/>
              </w:rPr>
              <w:t>±0,</w:t>
            </w:r>
            <w:r w:rsidR="00E16690">
              <w:rPr>
                <w:color w:val="000000"/>
                <w:sz w:val="18"/>
                <w:szCs w:val="16"/>
                <w:lang w:val="en-GB"/>
              </w:rPr>
              <w:t>15</w:t>
            </w:r>
          </w:p>
        </w:tc>
      </w:tr>
    </w:tbl>
    <w:bookmarkEnd w:id="1"/>
    <w:p w14:paraId="0257314D" w14:textId="21884795" w:rsidR="005D3649" w:rsidRPr="0070296E" w:rsidRDefault="005D3649" w:rsidP="0070296E">
      <w:pPr>
        <w:spacing w:before="120" w:line="360" w:lineRule="auto"/>
        <w:rPr>
          <w:szCs w:val="22"/>
          <w:u w:val="single"/>
          <w:lang w:val="en-GB"/>
        </w:rPr>
      </w:pPr>
      <w:r w:rsidRPr="0070296E">
        <w:rPr>
          <w:szCs w:val="22"/>
          <w:u w:val="single"/>
          <w:lang w:val="en-GB"/>
        </w:rPr>
        <w:t>Straightness (for diameter &gt; 40 mm):</w:t>
      </w:r>
    </w:p>
    <w:p w14:paraId="1A9A66CA" w14:textId="6F70E110" w:rsidR="005D3649" w:rsidRDefault="005D3649" w:rsidP="0070296E">
      <w:pPr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Saw angle: 90° ± </w:t>
      </w:r>
      <w:r w:rsidR="00241BDB">
        <w:rPr>
          <w:szCs w:val="22"/>
          <w:lang w:val="en-GB"/>
        </w:rPr>
        <w:t>0,5</w:t>
      </w:r>
      <w:r w:rsidRPr="0070296E">
        <w:rPr>
          <w:szCs w:val="22"/>
          <w:lang w:val="en-GB"/>
        </w:rPr>
        <w:t>°; saw burr &lt; 0,</w:t>
      </w:r>
      <w:r w:rsidR="00A61440">
        <w:rPr>
          <w:szCs w:val="22"/>
          <w:lang w:val="en-GB"/>
        </w:rPr>
        <w:t>2</w:t>
      </w:r>
      <w:r w:rsidRPr="0070296E">
        <w:rPr>
          <w:szCs w:val="22"/>
          <w:lang w:val="en-GB"/>
        </w:rPr>
        <w:t xml:space="preserve"> </w:t>
      </w:r>
      <w:proofErr w:type="gramStart"/>
      <w:r w:rsidRPr="0070296E">
        <w:rPr>
          <w:szCs w:val="22"/>
          <w:lang w:val="en-GB"/>
        </w:rPr>
        <w:t>mm</w:t>
      </w:r>
      <w:proofErr w:type="gramEnd"/>
    </w:p>
    <w:p w14:paraId="4CAD6496" w14:textId="35478242" w:rsidR="00731AFF" w:rsidRDefault="00731AFF" w:rsidP="0070296E">
      <w:pPr>
        <w:rPr>
          <w:szCs w:val="22"/>
          <w:lang w:val="en-GB"/>
        </w:rPr>
      </w:pPr>
      <w:r>
        <w:rPr>
          <w:szCs w:val="22"/>
          <w:lang w:val="en-GB"/>
        </w:rPr>
        <w:t xml:space="preserve">Max length of head (scrap) shall not </w:t>
      </w:r>
      <w:r w:rsidR="007F4663">
        <w:rPr>
          <w:szCs w:val="22"/>
          <w:lang w:val="en-GB"/>
        </w:rPr>
        <w:t xml:space="preserve">be longer than </w:t>
      </w:r>
      <w:r w:rsidR="007F4663" w:rsidRPr="00DC4BCB">
        <w:rPr>
          <w:szCs w:val="22"/>
          <w:lang w:val="en-GB"/>
        </w:rPr>
        <w:t xml:space="preserve">3 000 </w:t>
      </w:r>
      <w:proofErr w:type="gramStart"/>
      <w:r w:rsidR="007F4663" w:rsidRPr="00DC4BCB">
        <w:rPr>
          <w:szCs w:val="22"/>
          <w:lang w:val="en-GB"/>
        </w:rPr>
        <w:t>mm</w:t>
      </w:r>
      <w:proofErr w:type="gramEnd"/>
      <w:r w:rsidR="00D131B5">
        <w:rPr>
          <w:szCs w:val="22"/>
          <w:lang w:val="en-GB"/>
        </w:rPr>
        <w:t xml:space="preserve"> </w:t>
      </w:r>
    </w:p>
    <w:p w14:paraId="31CC4191" w14:textId="73963872" w:rsidR="007F4663" w:rsidRPr="00DC4BCB" w:rsidRDefault="007F4663" w:rsidP="0070296E">
      <w:pPr>
        <w:rPr>
          <w:szCs w:val="22"/>
          <w:lang w:val="en-GB"/>
        </w:rPr>
      </w:pPr>
      <w:r>
        <w:rPr>
          <w:szCs w:val="22"/>
          <w:lang w:val="en-GB"/>
        </w:rPr>
        <w:t xml:space="preserve">Max length of tail (scrap) shall </w:t>
      </w:r>
      <w:r w:rsidRPr="00DC4BCB">
        <w:rPr>
          <w:szCs w:val="22"/>
          <w:lang w:val="en-GB"/>
        </w:rPr>
        <w:t>not be</w:t>
      </w:r>
      <w:r>
        <w:rPr>
          <w:szCs w:val="22"/>
          <w:lang w:val="en-GB"/>
        </w:rPr>
        <w:t xml:space="preserve"> longer than </w:t>
      </w:r>
      <w:r w:rsidR="0079178A">
        <w:rPr>
          <w:szCs w:val="22"/>
          <w:lang w:val="en-GB"/>
        </w:rPr>
        <w:t>3 0</w:t>
      </w:r>
      <w:r w:rsidRPr="00DC4BCB">
        <w:rPr>
          <w:szCs w:val="22"/>
          <w:lang w:val="en-GB"/>
        </w:rPr>
        <w:t xml:space="preserve">00 </w:t>
      </w:r>
      <w:proofErr w:type="gramStart"/>
      <w:r w:rsidRPr="00DC4BCB">
        <w:rPr>
          <w:szCs w:val="22"/>
          <w:lang w:val="en-GB"/>
        </w:rPr>
        <w:t>mm</w:t>
      </w:r>
      <w:proofErr w:type="gramEnd"/>
      <w:r w:rsidR="00D131B5">
        <w:rPr>
          <w:szCs w:val="22"/>
          <w:lang w:val="en-GB"/>
        </w:rPr>
        <w:t xml:space="preserve"> </w:t>
      </w:r>
    </w:p>
    <w:p w14:paraId="0CBF8F04" w14:textId="77777777" w:rsidR="000F4563" w:rsidRDefault="000F4563" w:rsidP="0070296E">
      <w:pPr>
        <w:rPr>
          <w:szCs w:val="22"/>
          <w:lang w:val="en-GB"/>
        </w:rPr>
      </w:pPr>
    </w:p>
    <w:p w14:paraId="1B86142A" w14:textId="77777777" w:rsidR="000F4563" w:rsidRPr="002F1233" w:rsidRDefault="000F4563" w:rsidP="000F4563">
      <w:pPr>
        <w:rPr>
          <w:szCs w:val="22"/>
          <w:lang w:val="en-GB"/>
        </w:rPr>
      </w:pPr>
      <w:r w:rsidRPr="002F1233">
        <w:rPr>
          <w:szCs w:val="22"/>
          <w:lang w:val="en-GB"/>
        </w:rPr>
        <w:t xml:space="preserve">According to DIN EN 754-3 </w:t>
      </w:r>
    </w:p>
    <w:p w14:paraId="3DA29245" w14:textId="77777777" w:rsidR="000F4563" w:rsidRPr="002F1233" w:rsidRDefault="000F4563" w:rsidP="000F4563">
      <w:pPr>
        <w:rPr>
          <w:szCs w:val="22"/>
          <w:lang w:val="en-GB"/>
        </w:rPr>
      </w:pPr>
    </w:p>
    <w:p w14:paraId="01C0589E" w14:textId="135CE323" w:rsidR="000F4563" w:rsidRDefault="000F4563" w:rsidP="000F4563">
      <w:pPr>
        <w:rPr>
          <w:szCs w:val="22"/>
          <w:lang w:val="en-GB"/>
        </w:rPr>
      </w:pPr>
      <w:r w:rsidRPr="002F1233">
        <w:rPr>
          <w:szCs w:val="22"/>
          <w:lang w:val="en-GB"/>
        </w:rPr>
        <w:t xml:space="preserve">Max. deviation: </w:t>
      </w:r>
      <w:r w:rsidR="00B87C32" w:rsidRPr="002F1233">
        <w:rPr>
          <w:szCs w:val="22"/>
          <w:lang w:val="en-GB"/>
        </w:rPr>
        <w:t xml:space="preserve">2 </w:t>
      </w:r>
      <w:r w:rsidRPr="002F1233">
        <w:rPr>
          <w:szCs w:val="22"/>
          <w:lang w:val="en-GB"/>
        </w:rPr>
        <w:t>mm/m</w:t>
      </w:r>
    </w:p>
    <w:p w14:paraId="082200D1" w14:textId="350B2526" w:rsidR="000F4563" w:rsidRPr="0070296E" w:rsidRDefault="00980DDB" w:rsidP="0070296E">
      <w:pPr>
        <w:rPr>
          <w:szCs w:val="22"/>
          <w:lang w:val="en-GB"/>
        </w:rPr>
      </w:pPr>
      <w:bookmarkStart w:id="2" w:name="_Hlk162426948"/>
      <w:r>
        <w:rPr>
          <w:szCs w:val="22"/>
          <w:lang w:val="en-GB"/>
        </w:rPr>
        <w:t>Max. deviation on overall length: 12 mm</w:t>
      </w:r>
      <w:bookmarkEnd w:id="2"/>
    </w:p>
    <w:p w14:paraId="30661459" w14:textId="77777777" w:rsidR="005D3649" w:rsidRPr="0070296E" w:rsidRDefault="005D3649" w:rsidP="0070296E">
      <w:pPr>
        <w:pStyle w:val="Nadpis3"/>
        <w:rPr>
          <w:lang w:val="en-GB" w:eastAsia="cs-CZ"/>
        </w:rPr>
      </w:pPr>
      <w:r w:rsidRPr="0070296E">
        <w:rPr>
          <w:lang w:val="en-GB" w:eastAsia="cs-CZ"/>
        </w:rPr>
        <w:t>Non-destructive inspection</w:t>
      </w:r>
    </w:p>
    <w:p w14:paraId="680848FD" w14:textId="6F2580EE" w:rsidR="000F4563" w:rsidRP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t xml:space="preserve">Ultrasonic testing (UST) of each </w:t>
      </w:r>
      <w:r w:rsidR="00BA6F6C">
        <w:rPr>
          <w:szCs w:val="22"/>
          <w:lang w:val="en-GB"/>
        </w:rPr>
        <w:t>billet</w:t>
      </w:r>
      <w:r w:rsidRPr="000F4563">
        <w:rPr>
          <w:szCs w:val="22"/>
          <w:lang w:val="en-GB"/>
        </w:rPr>
        <w:t xml:space="preserve"> </w:t>
      </w:r>
      <w:proofErr w:type="gramStart"/>
      <w:r w:rsidRPr="000F4563">
        <w:rPr>
          <w:szCs w:val="22"/>
          <w:lang w:val="en-GB"/>
        </w:rPr>
        <w:t>has to</w:t>
      </w:r>
      <w:proofErr w:type="gramEnd"/>
      <w:r w:rsidRPr="000F4563">
        <w:rPr>
          <w:szCs w:val="22"/>
          <w:lang w:val="en-GB"/>
        </w:rPr>
        <w:t xml:space="preserve"> be carried out according to ASTM 2375-08, (B594-13) acceptance class </w:t>
      </w:r>
      <w:r w:rsidRPr="00F924B8">
        <w:rPr>
          <w:szCs w:val="22"/>
          <w:lang w:val="en-GB"/>
        </w:rPr>
        <w:t>A</w:t>
      </w:r>
      <w:r w:rsidR="00C66EC2">
        <w:rPr>
          <w:szCs w:val="22"/>
          <w:lang w:val="en-GB"/>
        </w:rPr>
        <w:t>A</w:t>
      </w:r>
      <w:r w:rsidRPr="00F924B8">
        <w:rPr>
          <w:szCs w:val="22"/>
          <w:lang w:val="en-GB"/>
        </w:rPr>
        <w:t>,</w:t>
      </w:r>
      <w:r w:rsidRPr="000F4563">
        <w:rPr>
          <w:szCs w:val="22"/>
          <w:lang w:val="en-GB"/>
        </w:rPr>
        <w:t xml:space="preserve"> </w:t>
      </w:r>
      <w:proofErr w:type="spellStart"/>
      <w:r w:rsidRPr="000F4563">
        <w:rPr>
          <w:szCs w:val="22"/>
          <w:lang w:val="en-GB"/>
        </w:rPr>
        <w:t>puls</w:t>
      </w:r>
      <w:proofErr w:type="spellEnd"/>
      <w:r w:rsidRPr="000F4563">
        <w:rPr>
          <w:szCs w:val="22"/>
          <w:lang w:val="en-GB"/>
        </w:rPr>
        <w:t>-echo-method, vertical / radial acoustic irradiation</w:t>
      </w:r>
      <w:r w:rsidRPr="00C66EC2">
        <w:rPr>
          <w:szCs w:val="22"/>
          <w:lang w:val="en-GB"/>
        </w:rPr>
        <w:t xml:space="preserve">, </w:t>
      </w:r>
      <w:r w:rsidR="00CF19CD" w:rsidRPr="00C66EC2">
        <w:rPr>
          <w:szCs w:val="22"/>
          <w:lang w:val="en-GB"/>
        </w:rPr>
        <w:t>phased array testing</w:t>
      </w:r>
      <w:r w:rsidR="00493C93">
        <w:rPr>
          <w:szCs w:val="22"/>
          <w:lang w:val="en-GB"/>
        </w:rPr>
        <w:t xml:space="preserve"> </w:t>
      </w:r>
      <w:r w:rsidRPr="000F4563">
        <w:rPr>
          <w:szCs w:val="22"/>
          <w:lang w:val="en-GB"/>
        </w:rPr>
        <w:t>technology, based on the following parameters:</w:t>
      </w:r>
    </w:p>
    <w:p w14:paraId="20E504A1" w14:textId="38C24EBE" w:rsidR="000F4563" w:rsidRPr="000F4563" w:rsidRDefault="000F4563" w:rsidP="000F4563">
      <w:pPr>
        <w:pStyle w:val="Odstavecseseznamem"/>
        <w:numPr>
          <w:ilvl w:val="0"/>
          <w:numId w:val="5"/>
        </w:numPr>
        <w:spacing w:before="120" w:after="60"/>
        <w:jc w:val="both"/>
        <w:rPr>
          <w:szCs w:val="22"/>
          <w:lang w:val="en-GB"/>
        </w:rPr>
      </w:pPr>
      <w:r w:rsidRPr="000F4563">
        <w:rPr>
          <w:szCs w:val="22"/>
          <w:lang w:val="en-GB"/>
        </w:rPr>
        <w:t xml:space="preserve">Clean, non-treated surface of the </w:t>
      </w:r>
      <w:r w:rsidR="00BA6F6C">
        <w:rPr>
          <w:szCs w:val="22"/>
          <w:lang w:val="en-GB"/>
        </w:rPr>
        <w:t>billet</w:t>
      </w:r>
    </w:p>
    <w:p w14:paraId="46BB1688" w14:textId="63D04E8C" w:rsidR="00E81FF0" w:rsidRPr="00F15EA9" w:rsidRDefault="000F4563" w:rsidP="00F15EA9">
      <w:pPr>
        <w:pStyle w:val="Odstavecseseznamem"/>
        <w:numPr>
          <w:ilvl w:val="0"/>
          <w:numId w:val="5"/>
        </w:numPr>
        <w:spacing w:before="120" w:after="60"/>
        <w:jc w:val="both"/>
        <w:rPr>
          <w:szCs w:val="22"/>
          <w:lang w:val="en-GB"/>
        </w:rPr>
      </w:pPr>
      <w:r w:rsidRPr="000F4563">
        <w:rPr>
          <w:szCs w:val="22"/>
          <w:lang w:val="en-GB"/>
        </w:rPr>
        <w:t>Inspection frequency: 10 MHz</w:t>
      </w:r>
    </w:p>
    <w:p w14:paraId="3C572A1A" w14:textId="402E2E82" w:rsidR="00E81FF0" w:rsidRDefault="00E81FF0" w:rsidP="00E81FF0">
      <w:pPr>
        <w:pStyle w:val="Titulek"/>
        <w:keepNext/>
        <w:jc w:val="center"/>
      </w:pPr>
      <w:r>
        <w:t xml:space="preserve">Table 8 - 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 / validity</w:t>
      </w:r>
    </w:p>
    <w:tbl>
      <w:tblPr>
        <w:tblStyle w:val="Mkatabulky"/>
        <w:tblW w:w="6821" w:type="dxa"/>
        <w:jc w:val="center"/>
        <w:tblLayout w:type="fixed"/>
        <w:tblLook w:val="04A0" w:firstRow="1" w:lastRow="0" w:firstColumn="1" w:lastColumn="0" w:noHBand="0" w:noVBand="1"/>
      </w:tblPr>
      <w:tblGrid>
        <w:gridCol w:w="1199"/>
        <w:gridCol w:w="1418"/>
        <w:gridCol w:w="1984"/>
        <w:gridCol w:w="2220"/>
      </w:tblGrid>
      <w:tr w:rsidR="000F4563" w:rsidRPr="000F4563" w14:paraId="36E6AAA0" w14:textId="77777777" w:rsidTr="000F4563">
        <w:trPr>
          <w:trHeight w:val="766"/>
          <w:jc w:val="center"/>
        </w:trPr>
        <w:tc>
          <w:tcPr>
            <w:tcW w:w="1199" w:type="dxa"/>
            <w:shd w:val="clear" w:color="auto" w:fill="FFFFFF" w:themeFill="background1"/>
          </w:tcPr>
          <w:p w14:paraId="7B634146" w14:textId="7777777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r w:rsidRPr="000F4563">
              <w:rPr>
                <w:rFonts w:cs="Arial"/>
                <w:lang w:eastAsia="ja-JP"/>
              </w:rPr>
              <w:t>ASTM B594-13</w:t>
            </w:r>
          </w:p>
        </w:tc>
        <w:tc>
          <w:tcPr>
            <w:tcW w:w="1418" w:type="dxa"/>
            <w:shd w:val="clear" w:color="auto" w:fill="FFFFFF" w:themeFill="background1"/>
          </w:tcPr>
          <w:p w14:paraId="29CC06A1" w14:textId="7777777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r w:rsidRPr="000F4563">
              <w:rPr>
                <w:rFonts w:cs="Arial"/>
                <w:lang w:eastAsia="ja-JP"/>
              </w:rPr>
              <w:t xml:space="preserve">Single </w:t>
            </w:r>
            <w:proofErr w:type="spellStart"/>
            <w:r w:rsidRPr="000F4563">
              <w:rPr>
                <w:rFonts w:cs="Arial"/>
                <w:lang w:eastAsia="ja-JP"/>
              </w:rPr>
              <w:t>Discontinuity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</w:tcPr>
          <w:p w14:paraId="13270D0E" w14:textId="7777777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proofErr w:type="spellStart"/>
            <w:r w:rsidRPr="000F4563">
              <w:rPr>
                <w:rFonts w:cs="Arial"/>
                <w:lang w:eastAsia="ja-JP"/>
              </w:rPr>
              <w:t>Multiple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</w:t>
            </w:r>
            <w:proofErr w:type="spellStart"/>
            <w:r w:rsidRPr="000F4563">
              <w:rPr>
                <w:rFonts w:cs="Arial"/>
                <w:lang w:eastAsia="ja-JP"/>
              </w:rPr>
              <w:t>Discontinuities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</w:t>
            </w:r>
            <w:r w:rsidRPr="000F4563">
              <w:rPr>
                <w:rFonts w:cs="Arial"/>
                <w:u w:val="single"/>
                <w:lang w:eastAsia="ja-JP"/>
              </w:rPr>
              <w:t>&lt;</w:t>
            </w:r>
            <w:r w:rsidRPr="000F4563">
              <w:rPr>
                <w:rFonts w:cs="Arial"/>
                <w:lang w:eastAsia="ja-JP"/>
              </w:rPr>
              <w:t xml:space="preserve">1 </w:t>
            </w:r>
            <w:proofErr w:type="spellStart"/>
            <w:r w:rsidRPr="000F4563">
              <w:rPr>
                <w:rFonts w:cs="Arial"/>
                <w:lang w:eastAsia="ja-JP"/>
              </w:rPr>
              <w:t>inch</w:t>
            </w:r>
            <w:proofErr w:type="spellEnd"/>
          </w:p>
        </w:tc>
        <w:tc>
          <w:tcPr>
            <w:tcW w:w="2220" w:type="dxa"/>
            <w:shd w:val="clear" w:color="auto" w:fill="FFFFFF" w:themeFill="background1"/>
          </w:tcPr>
          <w:p w14:paraId="5C2C9F43" w14:textId="7777777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proofErr w:type="spellStart"/>
            <w:r w:rsidRPr="000F4563">
              <w:rPr>
                <w:rFonts w:cs="Arial"/>
                <w:lang w:eastAsia="ja-JP"/>
              </w:rPr>
              <w:t>Multiple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</w:t>
            </w:r>
            <w:proofErr w:type="spellStart"/>
            <w:r w:rsidRPr="000F4563">
              <w:rPr>
                <w:rFonts w:cs="Arial"/>
                <w:lang w:eastAsia="ja-JP"/>
              </w:rPr>
              <w:t>Discontinuities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</w:t>
            </w:r>
            <w:proofErr w:type="spellStart"/>
            <w:r w:rsidRPr="000F4563">
              <w:rPr>
                <w:rFonts w:cs="Arial"/>
                <w:lang w:eastAsia="ja-JP"/>
              </w:rPr>
              <w:t>with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0.5 </w:t>
            </w:r>
            <w:proofErr w:type="spellStart"/>
            <w:r w:rsidRPr="000F4563">
              <w:rPr>
                <w:rFonts w:cs="Arial"/>
                <w:lang w:eastAsia="ja-JP"/>
              </w:rPr>
              <w:t>inch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</w:t>
            </w:r>
            <w:proofErr w:type="spellStart"/>
            <w:r w:rsidRPr="000F4563">
              <w:rPr>
                <w:rFonts w:cs="Arial"/>
                <w:lang w:eastAsia="ja-JP"/>
              </w:rPr>
              <w:t>length</w:t>
            </w:r>
            <w:proofErr w:type="spellEnd"/>
          </w:p>
        </w:tc>
      </w:tr>
      <w:tr w:rsidR="000F4563" w:rsidRPr="000F4563" w14:paraId="654E8849" w14:textId="77777777" w:rsidTr="000F4563">
        <w:trPr>
          <w:trHeight w:val="410"/>
          <w:jc w:val="center"/>
        </w:trPr>
        <w:tc>
          <w:tcPr>
            <w:tcW w:w="1199" w:type="dxa"/>
            <w:shd w:val="clear" w:color="auto" w:fill="FFFFFF" w:themeFill="background1"/>
          </w:tcPr>
          <w:p w14:paraId="4A2C9B6F" w14:textId="7777777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proofErr w:type="spellStart"/>
            <w:r w:rsidRPr="000F4563">
              <w:rPr>
                <w:rFonts w:cs="Arial"/>
                <w:lang w:eastAsia="ja-JP"/>
              </w:rPr>
              <w:t>Class</w:t>
            </w:r>
            <w:proofErr w:type="spellEnd"/>
            <w:r w:rsidRPr="000F4563">
              <w:rPr>
                <w:rFonts w:cs="Arial"/>
                <w:lang w:eastAsia="ja-JP"/>
              </w:rPr>
              <w:t xml:space="preserve"> AA</w:t>
            </w:r>
          </w:p>
        </w:tc>
        <w:tc>
          <w:tcPr>
            <w:tcW w:w="1418" w:type="dxa"/>
            <w:shd w:val="clear" w:color="auto" w:fill="FFFFFF" w:themeFill="background1"/>
          </w:tcPr>
          <w:p w14:paraId="2C53CCF7" w14:textId="1D5BF8B2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r w:rsidRPr="000F4563">
              <w:rPr>
                <w:rFonts w:cs="Arial"/>
                <w:lang w:eastAsia="ja-JP"/>
              </w:rPr>
              <w:t>1</w:t>
            </w:r>
            <w:r w:rsidR="00D568E5">
              <w:rPr>
                <w:rFonts w:cs="Arial"/>
                <w:lang w:eastAsia="ja-JP"/>
              </w:rPr>
              <w:t>,</w:t>
            </w:r>
            <w:r w:rsidRPr="000F4563">
              <w:rPr>
                <w:rFonts w:cs="Arial"/>
                <w:lang w:eastAsia="ja-JP"/>
              </w:rPr>
              <w:t>2 mm</w:t>
            </w:r>
          </w:p>
        </w:tc>
        <w:tc>
          <w:tcPr>
            <w:tcW w:w="1984" w:type="dxa"/>
            <w:shd w:val="clear" w:color="auto" w:fill="FFFFFF" w:themeFill="background1"/>
          </w:tcPr>
          <w:p w14:paraId="25EAD8D4" w14:textId="4E5AB2D1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r w:rsidRPr="000F4563">
              <w:rPr>
                <w:rFonts w:cs="Arial"/>
                <w:lang w:eastAsia="ja-JP"/>
              </w:rPr>
              <w:t>0</w:t>
            </w:r>
            <w:r w:rsidR="00D568E5">
              <w:rPr>
                <w:rFonts w:cs="Arial"/>
                <w:lang w:eastAsia="ja-JP"/>
              </w:rPr>
              <w:t>,</w:t>
            </w:r>
            <w:r w:rsidRPr="000F4563">
              <w:rPr>
                <w:rFonts w:cs="Arial"/>
                <w:lang w:eastAsia="ja-JP"/>
              </w:rPr>
              <w:t>8 mm</w:t>
            </w:r>
          </w:p>
        </w:tc>
        <w:tc>
          <w:tcPr>
            <w:tcW w:w="2220" w:type="dxa"/>
            <w:shd w:val="clear" w:color="auto" w:fill="FFFFFF" w:themeFill="background1"/>
          </w:tcPr>
          <w:p w14:paraId="3D8D003A" w14:textId="50011FD7" w:rsidR="000F4563" w:rsidRPr="000F4563" w:rsidRDefault="000F4563" w:rsidP="000F4563">
            <w:pPr>
              <w:jc w:val="center"/>
              <w:rPr>
                <w:rFonts w:cs="Arial"/>
                <w:lang w:eastAsia="ja-JP"/>
              </w:rPr>
            </w:pPr>
            <w:r w:rsidRPr="000F4563">
              <w:rPr>
                <w:rFonts w:cs="Arial"/>
                <w:lang w:eastAsia="ja-JP"/>
              </w:rPr>
              <w:t>0</w:t>
            </w:r>
            <w:r w:rsidR="00D568E5">
              <w:rPr>
                <w:rFonts w:cs="Arial"/>
                <w:lang w:eastAsia="ja-JP"/>
              </w:rPr>
              <w:t>,</w:t>
            </w:r>
            <w:r w:rsidRPr="000F4563">
              <w:rPr>
                <w:rFonts w:cs="Arial"/>
                <w:lang w:eastAsia="ja-JP"/>
              </w:rPr>
              <w:t>8 mm</w:t>
            </w:r>
          </w:p>
        </w:tc>
      </w:tr>
    </w:tbl>
    <w:p w14:paraId="34814703" w14:textId="77777777" w:rsidR="000F4563" w:rsidRPr="00C063F3" w:rsidRDefault="000F4563" w:rsidP="000F4563">
      <w:pPr>
        <w:rPr>
          <w:rFonts w:cs="Arial"/>
          <w:color w:val="FF0000"/>
        </w:rPr>
      </w:pPr>
    </w:p>
    <w:p w14:paraId="00BE5CB7" w14:textId="77777777" w:rsidR="00AA7437" w:rsidRDefault="00AA7437">
      <w:pPr>
        <w:spacing w:after="160" w:line="259" w:lineRule="auto"/>
        <w:rPr>
          <w:szCs w:val="22"/>
          <w:lang w:val="en-GB"/>
        </w:rPr>
      </w:pPr>
      <w:r>
        <w:rPr>
          <w:szCs w:val="22"/>
          <w:lang w:val="en-GB"/>
        </w:rPr>
        <w:br w:type="page"/>
      </w:r>
    </w:p>
    <w:p w14:paraId="5E8E00C6" w14:textId="3F10C0B9" w:rsidR="000F4563" w:rsidRP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lastRenderedPageBreak/>
        <w:t xml:space="preserve">Operation instructions describing the specific performance of the ultrasonic inspection procedure </w:t>
      </w:r>
      <w:proofErr w:type="gramStart"/>
      <w:r w:rsidRPr="000F4563">
        <w:rPr>
          <w:szCs w:val="22"/>
          <w:lang w:val="en-GB"/>
        </w:rPr>
        <w:t>have to</w:t>
      </w:r>
      <w:proofErr w:type="gramEnd"/>
      <w:r w:rsidRPr="000F4563">
        <w:rPr>
          <w:szCs w:val="22"/>
          <w:lang w:val="en-GB"/>
        </w:rPr>
        <w:t xml:space="preserve"> be available at the inspection location.</w:t>
      </w:r>
    </w:p>
    <w:p w14:paraId="14A2729C" w14:textId="6AAA9914" w:rsidR="000C0AB8" w:rsidRDefault="000C0AB8" w:rsidP="000C0AB8">
      <w:pPr>
        <w:rPr>
          <w:szCs w:val="22"/>
          <w:lang w:val="en-GB"/>
        </w:rPr>
      </w:pPr>
      <w:r w:rsidRPr="000F4563">
        <w:rPr>
          <w:szCs w:val="22"/>
          <w:lang w:val="en-GB"/>
        </w:rPr>
        <w:t>Max. length of non-inspected part of b</w:t>
      </w:r>
      <w:r w:rsidR="003806D1">
        <w:rPr>
          <w:szCs w:val="22"/>
          <w:lang w:val="en-GB"/>
        </w:rPr>
        <w:t>illet</w:t>
      </w:r>
      <w:r w:rsidRPr="000F4563">
        <w:rPr>
          <w:szCs w:val="22"/>
          <w:lang w:val="en-GB"/>
        </w:rPr>
        <w:t xml:space="preserve"> shall not be longer than </w:t>
      </w:r>
      <w:r>
        <w:rPr>
          <w:szCs w:val="22"/>
          <w:lang w:val="en-GB"/>
        </w:rPr>
        <w:t>2</w:t>
      </w:r>
      <w:r w:rsidRPr="000F4563">
        <w:rPr>
          <w:szCs w:val="22"/>
          <w:lang w:val="en-GB"/>
        </w:rPr>
        <w:t xml:space="preserve">0 mm </w:t>
      </w:r>
      <w:r>
        <w:rPr>
          <w:szCs w:val="22"/>
          <w:lang w:val="en-GB"/>
        </w:rPr>
        <w:t xml:space="preserve">for Ø40-84 mm </w:t>
      </w:r>
      <w:r w:rsidRPr="000F4563">
        <w:rPr>
          <w:szCs w:val="22"/>
          <w:lang w:val="en-GB"/>
        </w:rPr>
        <w:t xml:space="preserve">from each side of the </w:t>
      </w:r>
      <w:r>
        <w:rPr>
          <w:szCs w:val="22"/>
          <w:lang w:val="en-GB"/>
        </w:rPr>
        <w:t>billet</w:t>
      </w:r>
      <w:r w:rsidRPr="000F4563">
        <w:rPr>
          <w:szCs w:val="22"/>
          <w:lang w:val="en-GB"/>
        </w:rPr>
        <w:t xml:space="preserve">. </w:t>
      </w:r>
    </w:p>
    <w:p w14:paraId="371390BB" w14:textId="576EA585" w:rsidR="000C0AB8" w:rsidRDefault="000C0AB8" w:rsidP="000C0AB8">
      <w:pPr>
        <w:rPr>
          <w:szCs w:val="22"/>
          <w:lang w:val="en-GB"/>
        </w:rPr>
      </w:pPr>
      <w:r w:rsidRPr="000F4563">
        <w:rPr>
          <w:szCs w:val="22"/>
          <w:lang w:val="en-GB"/>
        </w:rPr>
        <w:t>Max. length of non-inspected part of b</w:t>
      </w:r>
      <w:r w:rsidR="003806D1">
        <w:rPr>
          <w:szCs w:val="22"/>
          <w:lang w:val="en-GB"/>
        </w:rPr>
        <w:t>illet</w:t>
      </w:r>
      <w:r w:rsidRPr="000F4563">
        <w:rPr>
          <w:szCs w:val="22"/>
          <w:lang w:val="en-GB"/>
        </w:rPr>
        <w:t xml:space="preserve"> shall not be longer than </w:t>
      </w:r>
      <w:r>
        <w:rPr>
          <w:szCs w:val="22"/>
          <w:lang w:val="en-GB"/>
        </w:rPr>
        <w:t>3</w:t>
      </w:r>
      <w:r w:rsidRPr="000F4563">
        <w:rPr>
          <w:szCs w:val="22"/>
          <w:lang w:val="en-GB"/>
        </w:rPr>
        <w:t xml:space="preserve">0 mm </w:t>
      </w:r>
      <w:r>
        <w:rPr>
          <w:szCs w:val="22"/>
          <w:lang w:val="en-GB"/>
        </w:rPr>
        <w:t>for Ø84-130 mm</w:t>
      </w:r>
      <w:r w:rsidRPr="000F4563">
        <w:rPr>
          <w:szCs w:val="22"/>
          <w:lang w:val="en-GB"/>
        </w:rPr>
        <w:t xml:space="preserve"> </w:t>
      </w:r>
      <w:r>
        <w:rPr>
          <w:szCs w:val="22"/>
          <w:lang w:val="en-GB"/>
        </w:rPr>
        <w:t>from each side of the b</w:t>
      </w:r>
      <w:r w:rsidR="003806D1">
        <w:rPr>
          <w:szCs w:val="22"/>
          <w:lang w:val="en-GB"/>
        </w:rPr>
        <w:t>illet</w:t>
      </w:r>
      <w:r>
        <w:rPr>
          <w:szCs w:val="22"/>
          <w:lang w:val="en-GB"/>
        </w:rPr>
        <w:t>.</w:t>
      </w:r>
    </w:p>
    <w:p w14:paraId="08C09F19" w14:textId="5ACD64D7" w:rsidR="000F4563" w:rsidRP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t xml:space="preserve">Note: smaller untested ends might be possible but </w:t>
      </w:r>
      <w:proofErr w:type="gramStart"/>
      <w:r w:rsidRPr="000F4563">
        <w:rPr>
          <w:szCs w:val="22"/>
          <w:lang w:val="en-GB"/>
        </w:rPr>
        <w:t>have to</w:t>
      </w:r>
      <w:proofErr w:type="gramEnd"/>
      <w:r w:rsidRPr="000F4563">
        <w:rPr>
          <w:szCs w:val="22"/>
          <w:lang w:val="en-GB"/>
        </w:rPr>
        <w:t xml:space="preserve"> be validated during dynamic testing.</w:t>
      </w:r>
    </w:p>
    <w:p w14:paraId="60A43C86" w14:textId="77777777" w:rsidR="000F4563" w:rsidRPr="000F4563" w:rsidRDefault="000F4563" w:rsidP="000F4563">
      <w:pPr>
        <w:rPr>
          <w:szCs w:val="22"/>
          <w:lang w:val="en-GB"/>
        </w:rPr>
      </w:pPr>
    </w:p>
    <w:p w14:paraId="17B2D499" w14:textId="77777777" w:rsid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t>Defects open to surface cannot reliably detected.</w:t>
      </w:r>
    </w:p>
    <w:p w14:paraId="13D54352" w14:textId="77777777" w:rsidR="000F4563" w:rsidRPr="000F4563" w:rsidRDefault="000F4563" w:rsidP="000F4563">
      <w:pPr>
        <w:rPr>
          <w:szCs w:val="22"/>
          <w:lang w:val="en-GB"/>
        </w:rPr>
      </w:pPr>
    </w:p>
    <w:p w14:paraId="2B9D765C" w14:textId="67D5F15A" w:rsidR="00E81FF0" w:rsidRDefault="00E81FF0" w:rsidP="00E81FF0">
      <w:pPr>
        <w:pStyle w:val="Titulek"/>
        <w:keepNext/>
        <w:jc w:val="center"/>
      </w:pPr>
      <w:r>
        <w:t xml:space="preserve">Table 9 - </w:t>
      </w:r>
      <w:proofErr w:type="spellStart"/>
      <w:r>
        <w:t>Ultrasonic</w:t>
      </w:r>
      <w:proofErr w:type="spellEnd"/>
      <w:r>
        <w:t xml:space="preserve"> </w:t>
      </w:r>
      <w:proofErr w:type="spellStart"/>
      <w:r>
        <w:t>deadzone</w:t>
      </w:r>
      <w:proofErr w:type="spellEnd"/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85"/>
        <w:gridCol w:w="3386"/>
      </w:tblGrid>
      <w:tr w:rsidR="000F4563" w:rsidRPr="00C063F3" w14:paraId="61BECEC2" w14:textId="77777777" w:rsidTr="000F4563">
        <w:trPr>
          <w:trHeight w:val="277"/>
          <w:jc w:val="center"/>
        </w:trPr>
        <w:tc>
          <w:tcPr>
            <w:tcW w:w="3385" w:type="dxa"/>
            <w:shd w:val="clear" w:color="auto" w:fill="FFFFFF" w:themeFill="background1"/>
          </w:tcPr>
          <w:p w14:paraId="4292A4FC" w14:textId="77777777" w:rsidR="000F4563" w:rsidRPr="000F4563" w:rsidRDefault="000F4563">
            <w:pPr>
              <w:pStyle w:val="Tabelle"/>
              <w:jc w:val="center"/>
              <w:rPr>
                <w:rFonts w:cs="Arial"/>
                <w:snapToGrid w:val="0"/>
                <w:lang w:val="en-US"/>
              </w:rPr>
            </w:pPr>
            <w:r w:rsidRPr="000F4563">
              <w:rPr>
                <w:rFonts w:cs="Arial"/>
                <w:lang w:val="en-GB" w:eastAsia="ja-JP"/>
              </w:rPr>
              <w:t>ASTM B594-13</w:t>
            </w:r>
          </w:p>
        </w:tc>
        <w:tc>
          <w:tcPr>
            <w:tcW w:w="3386" w:type="dxa"/>
            <w:shd w:val="clear" w:color="auto" w:fill="FFFFFF" w:themeFill="background1"/>
          </w:tcPr>
          <w:p w14:paraId="0ED02241" w14:textId="77777777" w:rsidR="000F4563" w:rsidRPr="000F4563" w:rsidRDefault="000F4563">
            <w:pPr>
              <w:pStyle w:val="Tabelle"/>
              <w:jc w:val="center"/>
              <w:rPr>
                <w:rFonts w:cs="Arial"/>
                <w:snapToGrid w:val="0"/>
                <w:lang w:val="en-US"/>
              </w:rPr>
            </w:pPr>
            <w:r w:rsidRPr="000F4563">
              <w:rPr>
                <w:rFonts w:cs="Arial"/>
                <w:snapToGrid w:val="0"/>
                <w:lang w:val="en-US"/>
              </w:rPr>
              <w:t>Dead zone in volume</w:t>
            </w:r>
          </w:p>
        </w:tc>
      </w:tr>
      <w:tr w:rsidR="000F4563" w:rsidRPr="00C063F3" w14:paraId="67218522" w14:textId="77777777" w:rsidTr="000F4563">
        <w:trPr>
          <w:trHeight w:val="277"/>
          <w:jc w:val="center"/>
        </w:trPr>
        <w:tc>
          <w:tcPr>
            <w:tcW w:w="3385" w:type="dxa"/>
            <w:shd w:val="clear" w:color="auto" w:fill="FFFFFF" w:themeFill="background1"/>
          </w:tcPr>
          <w:p w14:paraId="700EDCB0" w14:textId="77777777" w:rsidR="000F4563" w:rsidRPr="000F4563" w:rsidRDefault="000F4563">
            <w:pPr>
              <w:pStyle w:val="Tabelle"/>
              <w:jc w:val="center"/>
              <w:rPr>
                <w:rFonts w:cs="Arial"/>
                <w:snapToGrid w:val="0"/>
                <w:lang w:val="en-US"/>
              </w:rPr>
            </w:pPr>
            <w:r w:rsidRPr="000F4563">
              <w:rPr>
                <w:rFonts w:cs="Arial"/>
                <w:lang w:val="en-GB" w:eastAsia="ja-JP"/>
              </w:rPr>
              <w:t>Class AA</w:t>
            </w:r>
          </w:p>
        </w:tc>
        <w:tc>
          <w:tcPr>
            <w:tcW w:w="3386" w:type="dxa"/>
            <w:shd w:val="clear" w:color="auto" w:fill="FFFFFF" w:themeFill="background1"/>
          </w:tcPr>
          <w:p w14:paraId="05354194" w14:textId="5527A967" w:rsidR="000F4563" w:rsidRPr="000F4563" w:rsidRDefault="000F4563">
            <w:pPr>
              <w:pStyle w:val="Tabelle"/>
              <w:jc w:val="center"/>
              <w:rPr>
                <w:rFonts w:cs="Arial"/>
                <w:snapToGrid w:val="0"/>
                <w:lang w:val="en-US"/>
              </w:rPr>
            </w:pPr>
            <w:r w:rsidRPr="000F4563">
              <w:rPr>
                <w:rFonts w:cs="Arial"/>
                <w:snapToGrid w:val="0"/>
                <w:lang w:val="en-US"/>
              </w:rPr>
              <w:t>2</w:t>
            </w:r>
            <w:r w:rsidR="00D568E5">
              <w:rPr>
                <w:rFonts w:cs="Arial"/>
                <w:snapToGrid w:val="0"/>
                <w:lang w:val="en-US"/>
              </w:rPr>
              <w:t>,</w:t>
            </w:r>
            <w:r w:rsidRPr="000F4563">
              <w:rPr>
                <w:rFonts w:cs="Arial"/>
                <w:snapToGrid w:val="0"/>
                <w:lang w:val="en-US"/>
              </w:rPr>
              <w:t>0mm</w:t>
            </w:r>
          </w:p>
        </w:tc>
      </w:tr>
    </w:tbl>
    <w:p w14:paraId="6504B743" w14:textId="77777777" w:rsidR="000F4563" w:rsidRPr="00C063F3" w:rsidRDefault="000F4563" w:rsidP="000F4563">
      <w:pPr>
        <w:rPr>
          <w:rFonts w:cs="Arial"/>
          <w:color w:val="FF0000"/>
        </w:rPr>
      </w:pPr>
    </w:p>
    <w:p w14:paraId="00F767CD" w14:textId="77777777" w:rsidR="000F4563" w:rsidRP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t xml:space="preserve">The dead zone is checked by means of eddy current testing and thus enables 100% volume testing. </w:t>
      </w:r>
    </w:p>
    <w:p w14:paraId="2E55CA83" w14:textId="77777777" w:rsidR="000F4563" w:rsidRPr="000F4563" w:rsidRDefault="000F4563" w:rsidP="000F4563">
      <w:pPr>
        <w:rPr>
          <w:szCs w:val="22"/>
          <w:lang w:val="en-GB"/>
        </w:rPr>
      </w:pPr>
      <w:r w:rsidRPr="000F4563">
        <w:rPr>
          <w:szCs w:val="22"/>
          <w:lang w:val="en-GB"/>
        </w:rPr>
        <w:t>Defects open to surface will be detected by eddy current testing.</w:t>
      </w:r>
    </w:p>
    <w:p w14:paraId="462236D9" w14:textId="77777777" w:rsidR="005D3649" w:rsidRPr="00C66EC2" w:rsidRDefault="005D3649" w:rsidP="0070296E">
      <w:pPr>
        <w:pStyle w:val="Nadpis3"/>
        <w:rPr>
          <w:lang w:val="en-GB" w:eastAsia="cs-CZ"/>
        </w:rPr>
      </w:pPr>
      <w:r w:rsidRPr="00C66EC2">
        <w:rPr>
          <w:lang w:val="en-GB" w:eastAsia="cs-CZ"/>
        </w:rPr>
        <w:t>Mechanical properties</w:t>
      </w:r>
    </w:p>
    <w:p w14:paraId="0EC5470B" w14:textId="41DFE45E" w:rsidR="00D568E5" w:rsidRPr="00C66EC2" w:rsidRDefault="005D3649" w:rsidP="005D3649">
      <w:pPr>
        <w:spacing w:after="160" w:line="259" w:lineRule="auto"/>
        <w:rPr>
          <w:szCs w:val="22"/>
          <w:lang w:val="en-GB" w:eastAsia="cs-CZ"/>
        </w:rPr>
      </w:pPr>
      <w:r w:rsidRPr="00C66EC2">
        <w:rPr>
          <w:szCs w:val="22"/>
          <w:lang w:val="en-GB" w:eastAsia="cs-CZ"/>
        </w:rPr>
        <w:t xml:space="preserve">Round </w:t>
      </w:r>
      <w:r w:rsidR="00BA6F6C">
        <w:rPr>
          <w:szCs w:val="22"/>
          <w:lang w:val="en-GB" w:eastAsia="cs-CZ"/>
        </w:rPr>
        <w:t>billet</w:t>
      </w:r>
      <w:r w:rsidRPr="00C66EC2">
        <w:rPr>
          <w:szCs w:val="22"/>
          <w:lang w:val="en-GB" w:eastAsia="cs-CZ"/>
        </w:rPr>
        <w:t>s are manufactured and delivered in temper “as cast”.</w:t>
      </w:r>
    </w:p>
    <w:p w14:paraId="1A46BCD5" w14:textId="4A0A547D" w:rsidR="005D3649" w:rsidRPr="00D568E5" w:rsidRDefault="005D3649" w:rsidP="005D3649">
      <w:pPr>
        <w:spacing w:after="160" w:line="259" w:lineRule="auto"/>
        <w:rPr>
          <w:b/>
          <w:bCs/>
          <w:szCs w:val="22"/>
          <w:lang w:val="en-GB" w:eastAsia="cs-CZ"/>
        </w:rPr>
      </w:pPr>
      <w:r w:rsidRPr="00D568E5">
        <w:rPr>
          <w:rFonts w:eastAsia="Calibri"/>
          <w:b/>
          <w:bCs/>
          <w:szCs w:val="22"/>
          <w:lang w:val="en-GB"/>
        </w:rPr>
        <w:br w:type="page"/>
      </w:r>
    </w:p>
    <w:p w14:paraId="72B6AC87" w14:textId="77777777" w:rsidR="005D3649" w:rsidRPr="0070296E" w:rsidRDefault="005D3649" w:rsidP="0070296E">
      <w:pPr>
        <w:pStyle w:val="Nadpis2"/>
        <w:rPr>
          <w:lang w:val="en-GB"/>
        </w:rPr>
      </w:pPr>
      <w:r w:rsidRPr="0070296E">
        <w:rPr>
          <w:lang w:val="en-GB"/>
        </w:rPr>
        <w:lastRenderedPageBreak/>
        <w:t>QUALITY MANAGEMENT</w:t>
      </w:r>
    </w:p>
    <w:p w14:paraId="23DE6578" w14:textId="77777777" w:rsidR="005D3649" w:rsidRPr="0070296E" w:rsidRDefault="005D3649" w:rsidP="0070296E">
      <w:pPr>
        <w:pStyle w:val="Nadpis3"/>
        <w:rPr>
          <w:lang w:val="en-GB"/>
        </w:rPr>
      </w:pPr>
      <w:r w:rsidRPr="0070296E">
        <w:rPr>
          <w:lang w:val="en-GB"/>
        </w:rPr>
        <w:t>Quality management system</w:t>
      </w:r>
    </w:p>
    <w:p w14:paraId="25E769E3" w14:textId="4F55974E" w:rsidR="005D3649" w:rsidRPr="0070296E" w:rsidRDefault="005D3649" w:rsidP="005D3649">
      <w:pPr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Round </w:t>
      </w:r>
      <w:r w:rsidR="00BA6F6C">
        <w:rPr>
          <w:szCs w:val="22"/>
          <w:lang w:val="en-GB"/>
        </w:rPr>
        <w:t>billet</w:t>
      </w:r>
      <w:r w:rsidRPr="0070296E">
        <w:rPr>
          <w:szCs w:val="22"/>
          <w:lang w:val="en-GB"/>
        </w:rPr>
        <w:t xml:space="preserve">s as specified will be processed to suspension parts for the automotive industry. Therefore, the quality management system of the supplier </w:t>
      </w:r>
      <w:proofErr w:type="gramStart"/>
      <w:r w:rsidRPr="0070296E">
        <w:rPr>
          <w:szCs w:val="22"/>
          <w:lang w:val="en-GB"/>
        </w:rPr>
        <w:t>has to</w:t>
      </w:r>
      <w:proofErr w:type="gramEnd"/>
      <w:r w:rsidRPr="0070296E">
        <w:rPr>
          <w:szCs w:val="22"/>
          <w:lang w:val="en-GB"/>
        </w:rPr>
        <w:t xml:space="preserve"> </w:t>
      </w:r>
      <w:r w:rsidR="00421177" w:rsidRPr="0070296E">
        <w:rPr>
          <w:szCs w:val="22"/>
          <w:lang w:val="en-GB"/>
        </w:rPr>
        <w:t>fulfil</w:t>
      </w:r>
      <w:r w:rsidRPr="0070296E">
        <w:rPr>
          <w:szCs w:val="22"/>
          <w:lang w:val="en-GB"/>
        </w:rPr>
        <w:t xml:space="preserve"> the demands of IATF 16949 related to round </w:t>
      </w:r>
      <w:r w:rsidR="00BA6F6C">
        <w:rPr>
          <w:szCs w:val="22"/>
          <w:lang w:val="en-GB"/>
        </w:rPr>
        <w:t>billet</w:t>
      </w:r>
      <w:r w:rsidRPr="0070296E">
        <w:rPr>
          <w:szCs w:val="22"/>
          <w:lang w:val="en-GB"/>
        </w:rPr>
        <w:t>s.</w:t>
      </w:r>
    </w:p>
    <w:p w14:paraId="5FE274AF" w14:textId="77777777" w:rsidR="005D3649" w:rsidRPr="0070296E" w:rsidRDefault="005D3649" w:rsidP="0070296E">
      <w:pPr>
        <w:pStyle w:val="Nadpis3"/>
        <w:rPr>
          <w:lang w:val="en-GB" w:eastAsia="cs-CZ"/>
        </w:rPr>
      </w:pPr>
      <w:r w:rsidRPr="0070296E">
        <w:rPr>
          <w:lang w:val="en-GB" w:eastAsia="cs-CZ"/>
        </w:rPr>
        <w:t>Inspection</w:t>
      </w:r>
    </w:p>
    <w:p w14:paraId="0DA33684" w14:textId="77777777" w:rsidR="005D3649" w:rsidRPr="0070296E" w:rsidRDefault="005D3649" w:rsidP="005D3649">
      <w:pPr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By means of suitable quality inspections the supplier </w:t>
      </w:r>
      <w:proofErr w:type="gramStart"/>
      <w:r w:rsidRPr="0070296E">
        <w:rPr>
          <w:szCs w:val="22"/>
          <w:lang w:val="en-GB"/>
        </w:rPr>
        <w:t>has to</w:t>
      </w:r>
      <w:proofErr w:type="gramEnd"/>
      <w:r w:rsidRPr="0070296E">
        <w:rPr>
          <w:szCs w:val="22"/>
          <w:lang w:val="en-GB"/>
        </w:rPr>
        <w:t xml:space="preserve"> prove that the product properties of each delivery correspond to the requirements of the technical specification.</w:t>
      </w:r>
    </w:p>
    <w:p w14:paraId="496F30BB" w14:textId="77777777" w:rsidR="005D3649" w:rsidRPr="0070296E" w:rsidRDefault="005D3649" w:rsidP="005D3649">
      <w:pPr>
        <w:rPr>
          <w:szCs w:val="22"/>
          <w:lang w:val="en-GB"/>
        </w:rPr>
      </w:pPr>
    </w:p>
    <w:p w14:paraId="49AD5A6A" w14:textId="77777777" w:rsidR="005D3649" w:rsidRPr="0070296E" w:rsidRDefault="005D3649" w:rsidP="005D3649">
      <w:pPr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The following inspection </w:t>
      </w:r>
      <w:proofErr w:type="gramStart"/>
      <w:r w:rsidRPr="0070296E">
        <w:rPr>
          <w:szCs w:val="22"/>
          <w:lang w:val="en-GB"/>
        </w:rPr>
        <w:t>have to</w:t>
      </w:r>
      <w:proofErr w:type="gramEnd"/>
      <w:r w:rsidRPr="0070296E">
        <w:rPr>
          <w:szCs w:val="22"/>
          <w:lang w:val="en-GB"/>
        </w:rPr>
        <w:t xml:space="preserve"> be carried out and documented:</w:t>
      </w:r>
    </w:p>
    <w:p w14:paraId="1A725E3D" w14:textId="489B43B9" w:rsidR="005D3649" w:rsidRPr="00921F9F" w:rsidRDefault="005D3649" w:rsidP="005D3649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szCs w:val="22"/>
          <w:lang w:val="en-GB"/>
        </w:rPr>
      </w:pPr>
      <w:proofErr w:type="spellStart"/>
      <w:r w:rsidRPr="00921F9F">
        <w:rPr>
          <w:szCs w:val="22"/>
          <w:lang w:val="en-GB"/>
        </w:rPr>
        <w:t>PoDFA</w:t>
      </w:r>
      <w:proofErr w:type="spellEnd"/>
      <w:r w:rsidRPr="00921F9F">
        <w:rPr>
          <w:szCs w:val="22"/>
          <w:lang w:val="en-GB"/>
        </w:rPr>
        <w:t>: total max.: 0,</w:t>
      </w:r>
      <w:r w:rsidR="00AF6F2A" w:rsidRPr="00921F9F">
        <w:rPr>
          <w:szCs w:val="22"/>
          <w:lang w:val="en-GB"/>
        </w:rPr>
        <w:t>05</w:t>
      </w:r>
      <w:r w:rsidRPr="00921F9F">
        <w:rPr>
          <w:szCs w:val="22"/>
          <w:lang w:val="en-GB"/>
        </w:rPr>
        <w:t xml:space="preserve"> mm</w:t>
      </w:r>
      <w:r w:rsidRPr="00921F9F">
        <w:rPr>
          <w:szCs w:val="22"/>
          <w:vertAlign w:val="superscript"/>
          <w:lang w:val="en-GB"/>
        </w:rPr>
        <w:t>2</w:t>
      </w:r>
      <w:r w:rsidRPr="00921F9F">
        <w:rPr>
          <w:szCs w:val="22"/>
          <w:lang w:val="en-GB"/>
        </w:rPr>
        <w:t>/kg, TiB</w:t>
      </w:r>
      <w:r w:rsidRPr="00921F9F">
        <w:rPr>
          <w:szCs w:val="22"/>
          <w:vertAlign w:val="subscript"/>
          <w:lang w:val="en-GB"/>
        </w:rPr>
        <w:t>2</w:t>
      </w:r>
      <w:r w:rsidRPr="00921F9F">
        <w:rPr>
          <w:szCs w:val="22"/>
          <w:lang w:val="en-GB"/>
        </w:rPr>
        <w:t>max.: 0,</w:t>
      </w:r>
      <w:r w:rsidR="00AF6F2A" w:rsidRPr="00921F9F">
        <w:rPr>
          <w:szCs w:val="22"/>
          <w:lang w:val="en-GB"/>
        </w:rPr>
        <w:t>03</w:t>
      </w:r>
      <w:r w:rsidRPr="00921F9F">
        <w:rPr>
          <w:szCs w:val="22"/>
          <w:lang w:val="en-GB"/>
        </w:rPr>
        <w:t xml:space="preserve"> mm</w:t>
      </w:r>
      <w:r w:rsidRPr="00921F9F">
        <w:rPr>
          <w:szCs w:val="22"/>
          <w:vertAlign w:val="superscript"/>
          <w:lang w:val="en-GB"/>
        </w:rPr>
        <w:t>2</w:t>
      </w:r>
      <w:r w:rsidRPr="00921F9F">
        <w:rPr>
          <w:szCs w:val="22"/>
          <w:lang w:val="en-GB"/>
        </w:rPr>
        <w:t>/kg</w:t>
      </w:r>
    </w:p>
    <w:p w14:paraId="3446E93C" w14:textId="5DF4476E" w:rsidR="00FB6CF8" w:rsidRPr="00921F9F" w:rsidRDefault="00FB6CF8" w:rsidP="00FB6CF8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szCs w:val="22"/>
          <w:lang w:val="en-GB"/>
        </w:rPr>
      </w:pPr>
      <w:r w:rsidRPr="00921F9F">
        <w:rPr>
          <w:szCs w:val="22"/>
          <w:lang w:val="en-GB"/>
        </w:rPr>
        <w:t xml:space="preserve">Chemical analysis is done at the start of the batch, in the middle of the batch and at the end of </w:t>
      </w:r>
      <w:proofErr w:type="gramStart"/>
      <w:r w:rsidRPr="00921F9F">
        <w:rPr>
          <w:szCs w:val="22"/>
          <w:lang w:val="en-GB"/>
        </w:rPr>
        <w:t>batch</w:t>
      </w:r>
      <w:proofErr w:type="gramEnd"/>
    </w:p>
    <w:p w14:paraId="0968F744" w14:textId="3D61676A" w:rsidR="005D3649" w:rsidRPr="00921F9F" w:rsidRDefault="00E21AB3" w:rsidP="005D3649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szCs w:val="22"/>
          <w:lang w:val="en-GB"/>
        </w:rPr>
      </w:pPr>
      <w:r w:rsidRPr="00921F9F">
        <w:rPr>
          <w:szCs w:val="22"/>
          <w:lang w:val="en-GB"/>
        </w:rPr>
        <w:t xml:space="preserve">Every </w:t>
      </w:r>
      <w:r w:rsidR="00BA6F6C">
        <w:rPr>
          <w:szCs w:val="22"/>
          <w:lang w:val="en-GB"/>
        </w:rPr>
        <w:t>billet</w:t>
      </w:r>
      <w:r w:rsidRPr="00921F9F">
        <w:rPr>
          <w:szCs w:val="22"/>
          <w:lang w:val="en-GB"/>
        </w:rPr>
        <w:t xml:space="preserve"> </w:t>
      </w:r>
      <w:r w:rsidR="00616979" w:rsidRPr="00921F9F">
        <w:rPr>
          <w:szCs w:val="22"/>
          <w:lang w:val="en-GB"/>
        </w:rPr>
        <w:t>needs</w:t>
      </w:r>
      <w:r w:rsidRPr="00921F9F">
        <w:rPr>
          <w:szCs w:val="22"/>
          <w:lang w:val="en-GB"/>
        </w:rPr>
        <w:t xml:space="preserve"> to be</w:t>
      </w:r>
      <w:r w:rsidR="001C77FB" w:rsidRPr="00921F9F">
        <w:rPr>
          <w:szCs w:val="22"/>
          <w:lang w:val="en-GB"/>
        </w:rPr>
        <w:t xml:space="preserve"> 100 % volumetric</w:t>
      </w:r>
      <w:r w:rsidRPr="00921F9F">
        <w:rPr>
          <w:szCs w:val="22"/>
          <w:lang w:val="en-GB"/>
        </w:rPr>
        <w:t xml:space="preserve"> </w:t>
      </w:r>
      <w:r w:rsidR="001C77FB" w:rsidRPr="00921F9F">
        <w:rPr>
          <w:szCs w:val="22"/>
          <w:lang w:val="en-GB"/>
        </w:rPr>
        <w:t xml:space="preserve">non-destructive tested </w:t>
      </w:r>
      <w:proofErr w:type="gramStart"/>
      <w:r w:rsidRPr="00921F9F">
        <w:rPr>
          <w:szCs w:val="22"/>
          <w:lang w:val="en-GB"/>
        </w:rPr>
        <w:t>inline</w:t>
      </w:r>
      <w:proofErr w:type="gramEnd"/>
    </w:p>
    <w:p w14:paraId="1AE28FBF" w14:textId="059E4846" w:rsidR="005D3649" w:rsidRPr="00921F9F" w:rsidRDefault="005D3649" w:rsidP="005D3649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color w:val="FF0000"/>
          <w:szCs w:val="22"/>
          <w:lang w:val="en-GB"/>
        </w:rPr>
      </w:pPr>
      <w:r w:rsidRPr="00921F9F">
        <w:rPr>
          <w:szCs w:val="22"/>
          <w:lang w:val="en-GB"/>
        </w:rPr>
        <w:t xml:space="preserve">Inspection of the microstructure </w:t>
      </w:r>
      <w:r w:rsidR="005C4B9D" w:rsidRPr="00921F9F">
        <w:rPr>
          <w:szCs w:val="22"/>
          <w:lang w:val="en-GB"/>
        </w:rPr>
        <w:t xml:space="preserve">is done </w:t>
      </w:r>
      <w:r w:rsidR="006A70FE" w:rsidRPr="00921F9F">
        <w:rPr>
          <w:szCs w:val="22"/>
          <w:lang w:val="en-GB"/>
        </w:rPr>
        <w:t>once per batch from each casting strand</w:t>
      </w:r>
      <w:r w:rsidR="00921F9F">
        <w:rPr>
          <w:szCs w:val="22"/>
          <w:vertAlign w:val="superscript"/>
          <w:lang w:val="en-GB"/>
        </w:rPr>
        <w:t>3), 4)</w:t>
      </w:r>
    </w:p>
    <w:p w14:paraId="00B15407" w14:textId="6ACE516E" w:rsidR="005D3649" w:rsidRPr="0070296E" w:rsidRDefault="005D3649" w:rsidP="005D3649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szCs w:val="22"/>
          <w:lang w:val="en-GB"/>
        </w:rPr>
      </w:pPr>
      <w:r w:rsidRPr="0070296E">
        <w:rPr>
          <w:szCs w:val="22"/>
          <w:lang w:val="en-GB"/>
        </w:rPr>
        <w:t xml:space="preserve">Dimensional inspection: length of </w:t>
      </w:r>
      <w:r w:rsidR="00BA6F6C">
        <w:rPr>
          <w:szCs w:val="22"/>
          <w:lang w:val="en-GB"/>
        </w:rPr>
        <w:t>billet</w:t>
      </w:r>
      <w:r w:rsidRPr="0070296E">
        <w:rPr>
          <w:szCs w:val="22"/>
          <w:lang w:val="en-GB"/>
        </w:rPr>
        <w:t>, diameter, straightness</w:t>
      </w:r>
    </w:p>
    <w:p w14:paraId="2DF14884" w14:textId="71E4C309" w:rsidR="005D3649" w:rsidRPr="0070296E" w:rsidRDefault="00D93B50" w:rsidP="005D3649">
      <w:pPr>
        <w:pStyle w:val="Odstavecseseznamem"/>
        <w:numPr>
          <w:ilvl w:val="0"/>
          <w:numId w:val="6"/>
        </w:numPr>
        <w:spacing w:before="120" w:after="60" w:line="276" w:lineRule="auto"/>
        <w:jc w:val="both"/>
        <w:rPr>
          <w:szCs w:val="22"/>
          <w:lang w:val="en-GB"/>
        </w:rPr>
      </w:pPr>
      <w:r>
        <w:rPr>
          <w:szCs w:val="22"/>
          <w:lang w:val="en-GB"/>
        </w:rPr>
        <w:t>V</w:t>
      </w:r>
      <w:r w:rsidR="005D3649" w:rsidRPr="0070296E">
        <w:rPr>
          <w:szCs w:val="22"/>
          <w:lang w:val="en-GB"/>
        </w:rPr>
        <w:t xml:space="preserve">isual control of </w:t>
      </w:r>
      <w:r w:rsidR="00BA6F6C">
        <w:rPr>
          <w:szCs w:val="22"/>
          <w:lang w:val="en-GB"/>
        </w:rPr>
        <w:t>billet</w:t>
      </w:r>
      <w:r w:rsidR="005D3649" w:rsidRPr="0070296E">
        <w:rPr>
          <w:szCs w:val="22"/>
          <w:lang w:val="en-GB"/>
        </w:rPr>
        <w:t xml:space="preserve"> surface; measurement of surface roughness</w:t>
      </w:r>
    </w:p>
    <w:p w14:paraId="1C77BDBB" w14:textId="72571CA7" w:rsidR="005D3649" w:rsidRPr="0070296E" w:rsidRDefault="005D3649" w:rsidP="005D3649">
      <w:pPr>
        <w:spacing w:before="120" w:after="60" w:line="276" w:lineRule="auto"/>
        <w:jc w:val="both"/>
        <w:rPr>
          <w:szCs w:val="22"/>
          <w:lang w:val="en-GB"/>
        </w:rPr>
      </w:pPr>
      <w:r w:rsidRPr="0070296E">
        <w:rPr>
          <w:rFonts w:eastAsia="Calibri"/>
          <w:szCs w:val="22"/>
          <w:vertAlign w:val="superscript"/>
          <w:lang w:val="en-GB"/>
        </w:rPr>
        <w:t xml:space="preserve">3) </w:t>
      </w:r>
      <w:r w:rsidRPr="0070296E">
        <w:rPr>
          <w:szCs w:val="22"/>
          <w:lang w:val="en-GB"/>
        </w:rPr>
        <w:t xml:space="preserve">If the inspection result of only </w:t>
      </w:r>
      <w:r w:rsidR="00BA6F6C">
        <w:rPr>
          <w:szCs w:val="22"/>
          <w:lang w:val="en-GB"/>
        </w:rPr>
        <w:t>billet</w:t>
      </w:r>
      <w:r w:rsidRPr="0070296E">
        <w:rPr>
          <w:szCs w:val="22"/>
          <w:lang w:val="en-GB"/>
        </w:rPr>
        <w:t xml:space="preserve"> is negative all previously manufactured </w:t>
      </w:r>
      <w:r w:rsidR="00BA6F6C">
        <w:rPr>
          <w:szCs w:val="22"/>
          <w:lang w:val="en-GB"/>
        </w:rPr>
        <w:t>billet</w:t>
      </w:r>
      <w:r w:rsidRPr="00886729">
        <w:rPr>
          <w:szCs w:val="22"/>
          <w:lang w:val="en-GB"/>
        </w:rPr>
        <w:t>s from the same strand within the same batch must be controlled until the defect disappearing</w:t>
      </w:r>
      <w:r w:rsidR="001C77FB">
        <w:rPr>
          <w:szCs w:val="22"/>
          <w:lang w:val="en-GB"/>
        </w:rPr>
        <w:t>.</w:t>
      </w:r>
    </w:p>
    <w:p w14:paraId="38B682BE" w14:textId="717E885C" w:rsidR="005D3649" w:rsidRPr="0070296E" w:rsidRDefault="005D3649" w:rsidP="005D3649">
      <w:pPr>
        <w:rPr>
          <w:rFonts w:eastAsia="Calibri"/>
          <w:szCs w:val="22"/>
          <w:lang w:val="en-GB"/>
        </w:rPr>
      </w:pPr>
      <w:r w:rsidRPr="0070296E">
        <w:rPr>
          <w:rFonts w:eastAsia="Calibri"/>
          <w:szCs w:val="22"/>
          <w:vertAlign w:val="superscript"/>
          <w:lang w:val="en-GB"/>
        </w:rPr>
        <w:t xml:space="preserve">4) </w:t>
      </w:r>
      <w:r w:rsidRPr="0070296E">
        <w:rPr>
          <w:rFonts w:eastAsia="Calibri"/>
          <w:szCs w:val="22"/>
          <w:lang w:val="en-GB"/>
        </w:rPr>
        <w:t xml:space="preserve">For </w:t>
      </w:r>
      <w:proofErr w:type="gramStart"/>
      <w:r w:rsidRPr="0070296E">
        <w:rPr>
          <w:rFonts w:eastAsia="Calibri"/>
          <w:szCs w:val="22"/>
          <w:lang w:val="en-GB"/>
        </w:rPr>
        <w:t>particular examinations</w:t>
      </w:r>
      <w:proofErr w:type="gramEnd"/>
      <w:r w:rsidRPr="0070296E">
        <w:rPr>
          <w:rFonts w:eastAsia="Calibri"/>
          <w:szCs w:val="22"/>
          <w:lang w:val="en-GB"/>
        </w:rPr>
        <w:t xml:space="preserve"> the inspection frequency may differ from this term</w:t>
      </w:r>
    </w:p>
    <w:p w14:paraId="5CB5D219" w14:textId="77777777" w:rsidR="005D3649" w:rsidRPr="00921F9F" w:rsidRDefault="005D3649" w:rsidP="0070296E">
      <w:pPr>
        <w:pStyle w:val="Nadpis2"/>
        <w:rPr>
          <w:lang w:val="en-GB"/>
        </w:rPr>
      </w:pPr>
      <w:r w:rsidRPr="00921F9F">
        <w:rPr>
          <w:lang w:val="en-GB"/>
        </w:rPr>
        <w:t>DOCUMENTATION</w:t>
      </w:r>
    </w:p>
    <w:p w14:paraId="4649EF36" w14:textId="77777777" w:rsidR="005D3649" w:rsidRPr="00921F9F" w:rsidRDefault="005D3649" w:rsidP="005D3649">
      <w:pPr>
        <w:rPr>
          <w:rFonts w:eastAsia="Calibri"/>
          <w:szCs w:val="22"/>
          <w:lang w:val="en-GB"/>
        </w:rPr>
      </w:pPr>
      <w:r w:rsidRPr="00921F9F">
        <w:rPr>
          <w:rFonts w:eastAsia="Calibri"/>
          <w:szCs w:val="22"/>
          <w:lang w:val="en-GB"/>
        </w:rPr>
        <w:t xml:space="preserve">The documentation of process and product inspection including the duration of archiving </w:t>
      </w:r>
      <w:proofErr w:type="gramStart"/>
      <w:r w:rsidRPr="00921F9F">
        <w:rPr>
          <w:rFonts w:eastAsia="Calibri"/>
          <w:szCs w:val="22"/>
          <w:lang w:val="en-GB"/>
        </w:rPr>
        <w:t>has to</w:t>
      </w:r>
      <w:proofErr w:type="gramEnd"/>
      <w:r w:rsidRPr="00921F9F">
        <w:rPr>
          <w:rFonts w:eastAsia="Calibri"/>
          <w:szCs w:val="22"/>
          <w:lang w:val="en-GB"/>
        </w:rPr>
        <w:t xml:space="preserve"> be carried out under consideration of the quality standard VDA, volume 1.</w:t>
      </w:r>
    </w:p>
    <w:p w14:paraId="1D6AB433" w14:textId="77777777" w:rsidR="005D3649" w:rsidRPr="00921F9F" w:rsidRDefault="005D3649" w:rsidP="005D3649">
      <w:pPr>
        <w:rPr>
          <w:rFonts w:eastAsia="Calibri"/>
          <w:szCs w:val="22"/>
          <w:lang w:val="en-GB"/>
        </w:rPr>
      </w:pPr>
      <w:r w:rsidRPr="00921F9F">
        <w:rPr>
          <w:rFonts w:eastAsia="Calibri"/>
          <w:szCs w:val="22"/>
          <w:lang w:val="en-GB"/>
        </w:rPr>
        <w:t xml:space="preserve">A certificate of conformity, type 10204-3.1 B, containing the following information </w:t>
      </w:r>
      <w:proofErr w:type="gramStart"/>
      <w:r w:rsidRPr="00921F9F">
        <w:rPr>
          <w:rFonts w:eastAsia="Calibri"/>
          <w:szCs w:val="22"/>
          <w:lang w:val="en-GB"/>
        </w:rPr>
        <w:t>has to</w:t>
      </w:r>
      <w:proofErr w:type="gramEnd"/>
      <w:r w:rsidRPr="00921F9F">
        <w:rPr>
          <w:rFonts w:eastAsia="Calibri"/>
          <w:szCs w:val="22"/>
          <w:lang w:val="en-GB"/>
        </w:rPr>
        <w:t xml:space="preserve"> be attached to each batch:</w:t>
      </w:r>
    </w:p>
    <w:p w14:paraId="218FCA3E" w14:textId="77777777" w:rsidR="005D3649" w:rsidRPr="00921F9F" w:rsidRDefault="005D3649" w:rsidP="005D3649">
      <w:pPr>
        <w:pStyle w:val="Odstavecseseznamem"/>
        <w:numPr>
          <w:ilvl w:val="0"/>
          <w:numId w:val="7"/>
        </w:numPr>
        <w:spacing w:before="120" w:after="60" w:line="276" w:lineRule="auto"/>
        <w:jc w:val="both"/>
        <w:rPr>
          <w:szCs w:val="22"/>
          <w:lang w:val="en-GB"/>
        </w:rPr>
      </w:pPr>
      <w:r w:rsidRPr="00921F9F">
        <w:rPr>
          <w:szCs w:val="22"/>
          <w:lang w:val="en-GB"/>
        </w:rPr>
        <w:t xml:space="preserve">Order data, delivery </w:t>
      </w:r>
      <w:proofErr w:type="gramStart"/>
      <w:r w:rsidRPr="00921F9F">
        <w:rPr>
          <w:szCs w:val="22"/>
          <w:lang w:val="en-GB"/>
        </w:rPr>
        <w:t>volume</w:t>
      </w:r>
      <w:proofErr w:type="gramEnd"/>
    </w:p>
    <w:p w14:paraId="244E6B77" w14:textId="77777777" w:rsidR="005D3649" w:rsidRPr="00921F9F" w:rsidRDefault="005D3649" w:rsidP="005D3649">
      <w:pPr>
        <w:pStyle w:val="Odstavecseseznamem"/>
        <w:numPr>
          <w:ilvl w:val="0"/>
          <w:numId w:val="7"/>
        </w:numPr>
        <w:spacing w:before="120" w:after="60" w:line="276" w:lineRule="auto"/>
        <w:jc w:val="both"/>
        <w:rPr>
          <w:szCs w:val="22"/>
          <w:lang w:val="en-GB"/>
        </w:rPr>
      </w:pPr>
      <w:r w:rsidRPr="00921F9F">
        <w:rPr>
          <w:szCs w:val="22"/>
          <w:lang w:val="en-GB"/>
        </w:rPr>
        <w:t xml:space="preserve">Batch identification and actual corresponding chemical analysis, ultrasonic inspection, </w:t>
      </w:r>
      <w:proofErr w:type="spellStart"/>
      <w:r w:rsidRPr="00921F9F">
        <w:rPr>
          <w:szCs w:val="22"/>
          <w:lang w:val="en-GB"/>
        </w:rPr>
        <w:t>metallographical</w:t>
      </w:r>
      <w:proofErr w:type="spellEnd"/>
      <w:r w:rsidRPr="00921F9F">
        <w:rPr>
          <w:szCs w:val="22"/>
          <w:lang w:val="en-GB"/>
        </w:rPr>
        <w:t xml:space="preserve"> documentation of inner structure (s. 2.3.1), dimensional measurement, surface roughness measurement, mechanical properties.</w:t>
      </w:r>
    </w:p>
    <w:p w14:paraId="6F7D7DE2" w14:textId="26FA6DB1" w:rsidR="005D3649" w:rsidRPr="00921F9F" w:rsidRDefault="005D3649" w:rsidP="005D3649">
      <w:pPr>
        <w:pStyle w:val="Odstavecseseznamem"/>
        <w:numPr>
          <w:ilvl w:val="0"/>
          <w:numId w:val="7"/>
        </w:numPr>
        <w:spacing w:before="120" w:after="60" w:line="276" w:lineRule="auto"/>
        <w:jc w:val="both"/>
        <w:rPr>
          <w:szCs w:val="22"/>
          <w:lang w:val="en-GB"/>
        </w:rPr>
      </w:pPr>
      <w:r w:rsidRPr="00921F9F">
        <w:rPr>
          <w:szCs w:val="22"/>
          <w:lang w:val="en-GB"/>
        </w:rPr>
        <w:t>Explicit confirmation, that all prescribed were carried out. (</w:t>
      </w:r>
      <w:proofErr w:type="gramStart"/>
      <w:r w:rsidRPr="00921F9F">
        <w:rPr>
          <w:szCs w:val="22"/>
          <w:lang w:val="en-GB"/>
        </w:rPr>
        <w:t>suggestion</w:t>
      </w:r>
      <w:proofErr w:type="gramEnd"/>
      <w:r w:rsidRPr="00921F9F">
        <w:rPr>
          <w:szCs w:val="22"/>
          <w:lang w:val="en-GB"/>
        </w:rPr>
        <w:t xml:space="preserve">: All required inspections based on these specification, especially ultrasonic testing, </w:t>
      </w:r>
      <w:r w:rsidR="00D93B50" w:rsidRPr="00921F9F">
        <w:rPr>
          <w:szCs w:val="22"/>
          <w:lang w:val="en-GB"/>
        </w:rPr>
        <w:t>EDDY</w:t>
      </w:r>
      <w:r w:rsidRPr="00921F9F">
        <w:rPr>
          <w:szCs w:val="22"/>
          <w:lang w:val="en-GB"/>
        </w:rPr>
        <w:t xml:space="preserve"> current</w:t>
      </w:r>
      <w:r w:rsidR="00D7111D" w:rsidRPr="00921F9F">
        <w:rPr>
          <w:szCs w:val="22"/>
          <w:lang w:val="en-GB"/>
        </w:rPr>
        <w:t xml:space="preserve"> </w:t>
      </w:r>
      <w:r w:rsidRPr="00921F9F">
        <w:rPr>
          <w:szCs w:val="22"/>
          <w:lang w:val="en-GB"/>
        </w:rPr>
        <w:t xml:space="preserve">and the analysis of the micro-structure of cast </w:t>
      </w:r>
      <w:r w:rsidR="00BA6F6C">
        <w:rPr>
          <w:szCs w:val="22"/>
          <w:lang w:val="en-GB"/>
        </w:rPr>
        <w:t>billet</w:t>
      </w:r>
      <w:r w:rsidRPr="00921F9F">
        <w:rPr>
          <w:szCs w:val="22"/>
          <w:lang w:val="en-GB"/>
        </w:rPr>
        <w:t xml:space="preserve">s, were carried out. All </w:t>
      </w:r>
      <w:r w:rsidR="00BA6F6C">
        <w:rPr>
          <w:szCs w:val="22"/>
          <w:lang w:val="en-GB"/>
        </w:rPr>
        <w:t>billet</w:t>
      </w:r>
      <w:r w:rsidRPr="00921F9F">
        <w:rPr>
          <w:szCs w:val="22"/>
          <w:lang w:val="en-GB"/>
        </w:rPr>
        <w:t>s fulfil the prescribed quality level)</w:t>
      </w:r>
    </w:p>
    <w:p w14:paraId="592A1329" w14:textId="77777777" w:rsidR="00921F9F" w:rsidRDefault="00921F9F">
      <w:pPr>
        <w:spacing w:after="160" w:line="259" w:lineRule="auto"/>
        <w:rPr>
          <w:rFonts w:eastAsiaTheme="majorEastAsia" w:cstheme="majorBidi"/>
          <w:b/>
          <w:color w:val="000000" w:themeColor="text1"/>
          <w:sz w:val="28"/>
          <w:szCs w:val="26"/>
          <w:lang w:val="en-GB"/>
        </w:rPr>
      </w:pPr>
      <w:r>
        <w:rPr>
          <w:lang w:val="en-GB"/>
        </w:rPr>
        <w:br w:type="page"/>
      </w:r>
    </w:p>
    <w:p w14:paraId="1FB38F50" w14:textId="560D595C" w:rsidR="005D3649" w:rsidRPr="00921F9F" w:rsidRDefault="005D3649" w:rsidP="0070296E">
      <w:pPr>
        <w:pStyle w:val="Nadpis2"/>
        <w:rPr>
          <w:lang w:val="en-GB"/>
        </w:rPr>
      </w:pPr>
      <w:r w:rsidRPr="00921F9F">
        <w:rPr>
          <w:lang w:val="en-GB"/>
        </w:rPr>
        <w:lastRenderedPageBreak/>
        <w:t>DISPATCH, DELIVERY, MATERIAL IDENTIFICATION</w:t>
      </w:r>
    </w:p>
    <w:p w14:paraId="4781E05C" w14:textId="1E3A8876" w:rsidR="005D3649" w:rsidRPr="00921F9F" w:rsidRDefault="005D3649" w:rsidP="005D3649">
      <w:pPr>
        <w:spacing w:line="360" w:lineRule="auto"/>
        <w:rPr>
          <w:rFonts w:eastAsia="Calibri"/>
          <w:szCs w:val="22"/>
          <w:lang w:val="en-GB"/>
        </w:rPr>
      </w:pPr>
      <w:r w:rsidRPr="00921F9F">
        <w:rPr>
          <w:rFonts w:eastAsia="Calibri"/>
          <w:szCs w:val="22"/>
          <w:lang w:val="en-GB"/>
        </w:rPr>
        <w:t xml:space="preserve">The delivery of </w:t>
      </w:r>
      <w:r w:rsidR="00BA6F6C">
        <w:rPr>
          <w:rFonts w:eastAsia="Calibri"/>
          <w:szCs w:val="22"/>
          <w:lang w:val="en-GB"/>
        </w:rPr>
        <w:t>billet</w:t>
      </w:r>
      <w:r w:rsidRPr="00921F9F">
        <w:rPr>
          <w:rFonts w:eastAsia="Calibri"/>
          <w:szCs w:val="22"/>
          <w:lang w:val="en-GB"/>
        </w:rPr>
        <w:t xml:space="preserve">s </w:t>
      </w:r>
      <w:proofErr w:type="gramStart"/>
      <w:r w:rsidRPr="00921F9F">
        <w:rPr>
          <w:rFonts w:eastAsia="Calibri"/>
          <w:szCs w:val="22"/>
          <w:lang w:val="en-GB"/>
        </w:rPr>
        <w:t>has to</w:t>
      </w:r>
      <w:proofErr w:type="gramEnd"/>
      <w:r w:rsidRPr="00921F9F">
        <w:rPr>
          <w:rFonts w:eastAsia="Calibri"/>
          <w:szCs w:val="22"/>
          <w:lang w:val="en-GB"/>
        </w:rPr>
        <w:t xml:space="preserve"> be carried out separately according to batch identification.</w:t>
      </w:r>
    </w:p>
    <w:p w14:paraId="5C88FA31" w14:textId="77777777" w:rsidR="005D3649" w:rsidRPr="00921F9F" w:rsidRDefault="005D3649" w:rsidP="005D3649">
      <w:pPr>
        <w:spacing w:line="360" w:lineRule="auto"/>
        <w:rPr>
          <w:rFonts w:eastAsia="Calibri"/>
          <w:szCs w:val="22"/>
          <w:lang w:val="en-GB"/>
        </w:rPr>
      </w:pPr>
      <w:r w:rsidRPr="00921F9F">
        <w:rPr>
          <w:rFonts w:eastAsia="Calibri"/>
          <w:szCs w:val="22"/>
          <w:lang w:val="en-GB"/>
        </w:rPr>
        <w:t>A certificate of conformity is issued for each batch.</w:t>
      </w:r>
    </w:p>
    <w:p w14:paraId="0DF322AA" w14:textId="77777777" w:rsidR="005D3649" w:rsidRPr="00921F9F" w:rsidRDefault="005D3649" w:rsidP="005D3649">
      <w:pPr>
        <w:rPr>
          <w:rFonts w:eastAsia="Calibri"/>
          <w:szCs w:val="22"/>
          <w:lang w:val="en-GB"/>
        </w:rPr>
      </w:pPr>
      <w:r w:rsidRPr="00921F9F">
        <w:rPr>
          <w:rFonts w:eastAsia="Calibri"/>
          <w:szCs w:val="22"/>
          <w:lang w:val="en-GB"/>
        </w:rPr>
        <w:t xml:space="preserve">The correlation of the </w:t>
      </w:r>
      <w:proofErr w:type="spellStart"/>
      <w:r w:rsidRPr="00921F9F">
        <w:rPr>
          <w:rFonts w:eastAsia="Calibri"/>
          <w:szCs w:val="22"/>
          <w:lang w:val="en-GB"/>
        </w:rPr>
        <w:t>certicicate</w:t>
      </w:r>
      <w:proofErr w:type="spellEnd"/>
      <w:r w:rsidRPr="00921F9F">
        <w:rPr>
          <w:rFonts w:eastAsia="Calibri"/>
          <w:szCs w:val="22"/>
          <w:lang w:val="en-GB"/>
        </w:rPr>
        <w:t xml:space="preserve"> and the corresponding batch </w:t>
      </w:r>
      <w:proofErr w:type="gramStart"/>
      <w:r w:rsidRPr="00921F9F">
        <w:rPr>
          <w:rFonts w:eastAsia="Calibri"/>
          <w:szCs w:val="22"/>
          <w:lang w:val="en-GB"/>
        </w:rPr>
        <w:t>has to</w:t>
      </w:r>
      <w:proofErr w:type="gramEnd"/>
      <w:r w:rsidRPr="00921F9F">
        <w:rPr>
          <w:rFonts w:eastAsia="Calibri"/>
          <w:szCs w:val="22"/>
          <w:lang w:val="en-GB"/>
        </w:rPr>
        <w:t xml:space="preserve"> be ensured; the batch ID on the certification and on the label must be identical. Additionally, a label showing at least the batch ID, the unit ID, the alloy and the diameter is attached to each packed unit.</w:t>
      </w:r>
    </w:p>
    <w:p w14:paraId="28CD8E81" w14:textId="0AA65601" w:rsidR="005D3649" w:rsidRDefault="005D3649" w:rsidP="0070296E">
      <w:pPr>
        <w:pStyle w:val="Nadpis2"/>
        <w:rPr>
          <w:color w:val="auto"/>
          <w:lang w:val="en-GB"/>
        </w:rPr>
      </w:pPr>
      <w:r w:rsidRPr="00140E2A">
        <w:rPr>
          <w:color w:val="auto"/>
          <w:lang w:val="en-GB"/>
        </w:rPr>
        <w:t xml:space="preserve">DEFINITION OF </w:t>
      </w:r>
      <w:r w:rsidR="008D04EE">
        <w:rPr>
          <w:color w:val="auto"/>
          <w:lang w:val="en-GB"/>
        </w:rPr>
        <w:t xml:space="preserve">“AS CAST” </w:t>
      </w:r>
      <w:r w:rsidRPr="00140E2A">
        <w:rPr>
          <w:color w:val="auto"/>
          <w:lang w:val="en-GB"/>
        </w:rPr>
        <w:t>SURFACE DEFFECTS</w:t>
      </w:r>
    </w:p>
    <w:p w14:paraId="12969C05" w14:textId="36EC1E18" w:rsidR="008D04EE" w:rsidRPr="008D04EE" w:rsidRDefault="008D04EE" w:rsidP="008D04EE">
      <w:pPr>
        <w:spacing w:line="360" w:lineRule="auto"/>
        <w:rPr>
          <w:rFonts w:eastAsia="Calibri"/>
          <w:szCs w:val="22"/>
          <w:lang w:val="en-GB"/>
        </w:rPr>
      </w:pPr>
      <w:bookmarkStart w:id="3" w:name="_Hlk162429762"/>
      <w:r w:rsidRPr="008D04EE">
        <w:rPr>
          <w:rFonts w:eastAsia="Calibri"/>
          <w:szCs w:val="22"/>
          <w:lang w:val="en-GB"/>
        </w:rPr>
        <w:t>Surface defects can occur during casting. The first measure is to cut off the affected strand at the casting machine. Peeling removes the casting surface.</w:t>
      </w:r>
    </w:p>
    <w:bookmarkEnd w:id="3"/>
    <w:p w14:paraId="77D616DB" w14:textId="3123201A" w:rsidR="005D3649" w:rsidRPr="00140E2A" w:rsidRDefault="005D3649" w:rsidP="005D3649">
      <w:pPr>
        <w:pStyle w:val="odrky"/>
        <w:spacing w:line="276" w:lineRule="auto"/>
        <w:rPr>
          <w:rFonts w:ascii="Times New Roman" w:hAnsi="Times New Roman"/>
        </w:rPr>
      </w:pPr>
      <w:r w:rsidRPr="00140E2A">
        <w:rPr>
          <w:rFonts w:ascii="Times New Roman" w:hAnsi="Times New Roman"/>
        </w:rPr>
        <w:t>Incomplete liquation zone (LZ): coherent area of raised bumps originating from original solidified shell (bumps are subsurface to final liquated surface). Appearance mainly on the bottom surface (run out position, 180°).</w:t>
      </w:r>
    </w:p>
    <w:p w14:paraId="6B37C678" w14:textId="77777777" w:rsidR="005D3649" w:rsidRPr="00140E2A" w:rsidRDefault="005D3649" w:rsidP="005D3649">
      <w:pPr>
        <w:pStyle w:val="odrky"/>
        <w:spacing w:line="276" w:lineRule="auto"/>
        <w:rPr>
          <w:rFonts w:ascii="Times New Roman" w:hAnsi="Times New Roman"/>
        </w:rPr>
      </w:pPr>
      <w:r w:rsidRPr="00140E2A">
        <w:rPr>
          <w:rFonts w:ascii="Times New Roman" w:hAnsi="Times New Roman"/>
        </w:rPr>
        <w:t>Dimple (DP): final stages of liquation leaving isolated locations (no coherent area)</w:t>
      </w:r>
    </w:p>
    <w:p w14:paraId="55C5CD9F" w14:textId="5DB954E7" w:rsidR="005D3649" w:rsidRPr="00140E2A" w:rsidRDefault="005D3649" w:rsidP="005D3649">
      <w:pPr>
        <w:pStyle w:val="odrky"/>
        <w:spacing w:line="276" w:lineRule="auto"/>
        <w:rPr>
          <w:rFonts w:ascii="Times New Roman" w:hAnsi="Times New Roman"/>
        </w:rPr>
      </w:pPr>
      <w:r w:rsidRPr="00140E2A">
        <w:rPr>
          <w:rFonts w:ascii="Times New Roman" w:hAnsi="Times New Roman"/>
        </w:rPr>
        <w:t>Oxide release (OR): Typical surface appearance is a bow or ring form covering the circumference partly or completely. Topography shows subsurface folds.</w:t>
      </w:r>
    </w:p>
    <w:p w14:paraId="206E397C" w14:textId="77777777" w:rsidR="005D3649" w:rsidRPr="00140E2A" w:rsidRDefault="005D3649" w:rsidP="005D3649">
      <w:pPr>
        <w:pStyle w:val="odrky"/>
        <w:spacing w:line="276" w:lineRule="auto"/>
        <w:rPr>
          <w:rFonts w:ascii="Times New Roman" w:hAnsi="Times New Roman"/>
        </w:rPr>
      </w:pPr>
      <w:r w:rsidRPr="00140E2A">
        <w:rPr>
          <w:rFonts w:ascii="Times New Roman" w:hAnsi="Times New Roman"/>
        </w:rPr>
        <w:t>Drag (DR): Typically, linear longitudinal scratch caused by mech. defect or particle. Typical topographies are surface / subsurface effects with sharp radii.</w:t>
      </w:r>
    </w:p>
    <w:p w14:paraId="6A726254" w14:textId="77777777" w:rsidR="000E7493" w:rsidRDefault="008D04EE" w:rsidP="000E7493">
      <w:pPr>
        <w:pStyle w:val="odrky"/>
        <w:keepNext/>
        <w:numPr>
          <w:ilvl w:val="0"/>
          <w:numId w:val="0"/>
        </w:numPr>
        <w:ind w:left="720"/>
        <w:jc w:val="center"/>
      </w:pPr>
      <w:r w:rsidRPr="00561CF1">
        <w:rPr>
          <w:noProof/>
        </w:rPr>
        <w:drawing>
          <wp:inline distT="0" distB="0" distL="0" distR="0" wp14:anchorId="3B0EB6E1" wp14:editId="4693A7D5">
            <wp:extent cx="3073207" cy="2579298"/>
            <wp:effectExtent l="0" t="0" r="0" b="0"/>
            <wp:docPr id="1278803656" name="Obrázek 1" descr="Obsah obrázku diagram, text, kruh, 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803656" name="Obrázek 1" descr="Obsah obrázku diagram, text, kruh, kresba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5704" cy="258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8CB1E" w14:textId="7CC27875" w:rsidR="00900D65" w:rsidRPr="000E7493" w:rsidRDefault="000E7493" w:rsidP="000E7493">
      <w:pPr>
        <w:pStyle w:val="Titulek"/>
        <w:jc w:val="center"/>
      </w:pPr>
      <w:proofErr w:type="spellStart"/>
      <w:r>
        <w:t>Figure</w:t>
      </w:r>
      <w:proofErr w:type="spellEnd"/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262270">
        <w:rPr>
          <w:noProof/>
        </w:rPr>
        <w:t>1</w:t>
      </w:r>
      <w:r>
        <w:fldChar w:fldCharType="end"/>
      </w:r>
      <w:r>
        <w:t xml:space="preserve"> -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"as </w:t>
      </w:r>
      <w:proofErr w:type="spellStart"/>
      <w:r>
        <w:t>cast</w:t>
      </w:r>
      <w:proofErr w:type="spellEnd"/>
      <w:r>
        <w:t xml:space="preserve">"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defects</w:t>
      </w:r>
      <w:proofErr w:type="spellEnd"/>
    </w:p>
    <w:p w14:paraId="0AD0AE98" w14:textId="1374F50E" w:rsidR="006B01FB" w:rsidRDefault="006B01FB" w:rsidP="006B01FB">
      <w:pPr>
        <w:pStyle w:val="odrky"/>
        <w:numPr>
          <w:ilvl w:val="0"/>
          <w:numId w:val="0"/>
        </w:numPr>
        <w:spacing w:line="276" w:lineRule="auto"/>
        <w:ind w:left="720" w:hanging="360"/>
        <w:rPr>
          <w:rFonts w:ascii="Times New Roman" w:hAnsi="Times New Roman"/>
        </w:rPr>
      </w:pPr>
    </w:p>
    <w:p w14:paraId="7B06CA3B" w14:textId="291B4060" w:rsidR="005D3649" w:rsidRPr="0070296E" w:rsidRDefault="005D3649" w:rsidP="005D3649">
      <w:pPr>
        <w:ind w:left="263"/>
        <w:jc w:val="center"/>
        <w:rPr>
          <w:lang w:val="en-GB"/>
        </w:rPr>
      </w:pPr>
    </w:p>
    <w:tbl>
      <w:tblPr>
        <w:tblStyle w:val="Mkatabulky"/>
        <w:tblW w:w="0" w:type="auto"/>
        <w:tblInd w:w="1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751"/>
      </w:tblGrid>
      <w:tr w:rsidR="005D3649" w:rsidRPr="0070296E" w14:paraId="2CFDDE97" w14:textId="77777777" w:rsidTr="00F27F80">
        <w:trPr>
          <w:trHeight w:val="3402"/>
        </w:trPr>
        <w:tc>
          <w:tcPr>
            <w:tcW w:w="3828" w:type="dxa"/>
          </w:tcPr>
          <w:p w14:paraId="1281421D" w14:textId="0686A9A5" w:rsidR="005D3649" w:rsidRPr="000E7493" w:rsidRDefault="005D3649" w:rsidP="000E7493">
            <w:pPr>
              <w:keepNext/>
              <w:jc w:val="center"/>
            </w:pPr>
            <w:r w:rsidRPr="0070296E">
              <w:rPr>
                <w:rFonts w:eastAsia="Calibri"/>
                <w:noProof/>
                <w:szCs w:val="22"/>
                <w:lang w:val="en-GB"/>
                <w14:ligatures w14:val="standardContextual"/>
              </w:rPr>
              <w:drawing>
                <wp:inline distT="0" distB="0" distL="0" distR="0" wp14:anchorId="2358FC27" wp14:editId="7EF88DFC">
                  <wp:extent cx="1786027" cy="1363949"/>
                  <wp:effectExtent l="1587" t="0" r="6668" b="6667"/>
                  <wp:docPr id="187912707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9127071" name="Obrázek 1879127071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95" t="32798" r="17711" b="7030"/>
                          <a:stretch/>
                        </pic:blipFill>
                        <pic:spPr bwMode="auto">
                          <a:xfrm rot="5400000">
                            <a:off x="0" y="0"/>
                            <a:ext cx="1786788" cy="1364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</w:tcPr>
          <w:p w14:paraId="03D211B4" w14:textId="77777777" w:rsidR="005D3649" w:rsidRPr="00140E2A" w:rsidRDefault="005D3649">
            <w:pPr>
              <w:jc w:val="center"/>
              <w:rPr>
                <w:rFonts w:eastAsia="Calibri"/>
                <w:strike/>
                <w:szCs w:val="22"/>
                <w:lang w:val="en-GB"/>
              </w:rPr>
            </w:pPr>
            <w:r w:rsidRPr="00140E2A">
              <w:rPr>
                <w:rFonts w:eastAsia="Calibri"/>
                <w:strike/>
                <w:noProof/>
                <w:szCs w:val="22"/>
                <w:lang w:val="en-GB"/>
                <w14:ligatures w14:val="standardContextual"/>
              </w:rPr>
              <w:drawing>
                <wp:inline distT="0" distB="0" distL="0" distR="0" wp14:anchorId="286B06BF" wp14:editId="5BFC73EF">
                  <wp:extent cx="1790892" cy="2113932"/>
                  <wp:effectExtent l="0" t="9208" r="0" b="0"/>
                  <wp:docPr id="116531173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311739" name="Obrázek 1165311739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24" t="5237" r="1085" b="506"/>
                          <a:stretch/>
                        </pic:blipFill>
                        <pic:spPr bwMode="auto">
                          <a:xfrm rot="5400000">
                            <a:off x="0" y="0"/>
                            <a:ext cx="1792938" cy="21163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649" w:rsidRPr="0070296E" w14:paraId="5319A9B6" w14:textId="77777777" w:rsidTr="00F27F80">
        <w:tc>
          <w:tcPr>
            <w:tcW w:w="3828" w:type="dxa"/>
          </w:tcPr>
          <w:p w14:paraId="2251032D" w14:textId="66DAAC49" w:rsidR="005D3649" w:rsidRPr="00E4606E" w:rsidRDefault="005D3649">
            <w:pPr>
              <w:jc w:val="center"/>
              <w:rPr>
                <w:rFonts w:eastAsia="Calibri"/>
                <w:szCs w:val="22"/>
                <w:highlight w:val="green"/>
                <w:lang w:val="en-GB"/>
              </w:rPr>
            </w:pPr>
            <w:r w:rsidRPr="000E7493">
              <w:rPr>
                <w:rFonts w:eastAsia="Calibri"/>
                <w:sz w:val="18"/>
                <w:szCs w:val="18"/>
                <w:lang w:val="en-GB"/>
              </w:rPr>
              <w:t xml:space="preserve">a) </w:t>
            </w:r>
            <w:r w:rsidR="00BA6F6C">
              <w:rPr>
                <w:rFonts w:eastAsia="Calibri"/>
                <w:sz w:val="18"/>
                <w:szCs w:val="18"/>
                <w:lang w:val="en-GB"/>
              </w:rPr>
              <w:t>billet</w:t>
            </w:r>
            <w:r w:rsidR="00E4606E" w:rsidRPr="000E7493">
              <w:rPr>
                <w:rFonts w:eastAsia="Calibri"/>
                <w:sz w:val="18"/>
                <w:szCs w:val="18"/>
                <w:lang w:val="en-GB"/>
              </w:rPr>
              <w:t xml:space="preserve"> </w:t>
            </w:r>
            <w:r w:rsidRPr="000E7493">
              <w:rPr>
                <w:rFonts w:eastAsia="Calibri"/>
                <w:sz w:val="18"/>
                <w:szCs w:val="18"/>
                <w:lang w:val="en-GB"/>
              </w:rPr>
              <w:t>crack</w:t>
            </w:r>
          </w:p>
        </w:tc>
        <w:tc>
          <w:tcPr>
            <w:tcW w:w="3751" w:type="dxa"/>
          </w:tcPr>
          <w:p w14:paraId="18F3914B" w14:textId="0739061B" w:rsidR="005D3649" w:rsidRPr="00E4606E" w:rsidRDefault="005D3649">
            <w:pPr>
              <w:jc w:val="center"/>
              <w:rPr>
                <w:rFonts w:eastAsia="Calibri"/>
                <w:szCs w:val="22"/>
                <w:lang w:val="en-GB"/>
              </w:rPr>
            </w:pPr>
            <w:r w:rsidRPr="00E4606E">
              <w:rPr>
                <w:rFonts w:eastAsia="Calibri"/>
                <w:sz w:val="18"/>
                <w:szCs w:val="18"/>
                <w:lang w:val="en-GB"/>
              </w:rPr>
              <w:t xml:space="preserve">b) </w:t>
            </w:r>
            <w:r w:rsidR="00E4606E" w:rsidRPr="000E7493">
              <w:rPr>
                <w:rFonts w:eastAsia="Calibri"/>
                <w:sz w:val="18"/>
                <w:szCs w:val="18"/>
                <w:lang w:val="en-GB"/>
              </w:rPr>
              <w:t xml:space="preserve">peeled </w:t>
            </w:r>
            <w:r w:rsidR="00BA6F6C">
              <w:rPr>
                <w:rFonts w:eastAsia="Calibri"/>
                <w:sz w:val="18"/>
                <w:szCs w:val="18"/>
                <w:lang w:val="en-GB"/>
              </w:rPr>
              <w:t>billet</w:t>
            </w:r>
            <w:r w:rsidR="00E4606E" w:rsidRPr="000E7493">
              <w:rPr>
                <w:rFonts w:eastAsia="Calibri"/>
                <w:sz w:val="18"/>
                <w:szCs w:val="18"/>
                <w:lang w:val="en-GB"/>
              </w:rPr>
              <w:t xml:space="preserve"> </w:t>
            </w:r>
            <w:r w:rsidR="00C93B37" w:rsidRPr="000E7493">
              <w:rPr>
                <w:rFonts w:eastAsia="Calibri"/>
                <w:sz w:val="18"/>
                <w:szCs w:val="18"/>
                <w:lang w:val="en-GB"/>
              </w:rPr>
              <w:t>roughness</w:t>
            </w:r>
            <w:r w:rsidR="009B06AE" w:rsidRPr="000E7493">
              <w:rPr>
                <w:rFonts w:eastAsia="Calibri"/>
                <w:sz w:val="18"/>
                <w:szCs w:val="18"/>
                <w:lang w:val="en-GB"/>
              </w:rPr>
              <w:t xml:space="preserve"> is too high</w:t>
            </w:r>
          </w:p>
        </w:tc>
      </w:tr>
      <w:tr w:rsidR="005D3649" w:rsidRPr="0070296E" w14:paraId="3412F8A8" w14:textId="77777777" w:rsidTr="00F27F80">
        <w:tc>
          <w:tcPr>
            <w:tcW w:w="3828" w:type="dxa"/>
          </w:tcPr>
          <w:p w14:paraId="1A907F30" w14:textId="77777777" w:rsidR="005D3649" w:rsidRPr="00E4606E" w:rsidRDefault="005D3649">
            <w:pPr>
              <w:jc w:val="center"/>
              <w:rPr>
                <w:rFonts w:eastAsia="Calibri"/>
                <w:szCs w:val="22"/>
                <w:highlight w:val="green"/>
                <w:lang w:val="en-GB"/>
              </w:rPr>
            </w:pPr>
          </w:p>
        </w:tc>
        <w:tc>
          <w:tcPr>
            <w:tcW w:w="3751" w:type="dxa"/>
          </w:tcPr>
          <w:p w14:paraId="346C26A3" w14:textId="77777777" w:rsidR="005D3649" w:rsidRPr="00E4606E" w:rsidRDefault="005D3649">
            <w:pPr>
              <w:jc w:val="center"/>
              <w:rPr>
                <w:rFonts w:eastAsia="Calibri"/>
                <w:szCs w:val="22"/>
                <w:lang w:val="en-GB"/>
              </w:rPr>
            </w:pPr>
          </w:p>
        </w:tc>
      </w:tr>
      <w:tr w:rsidR="005D3649" w:rsidRPr="0070296E" w14:paraId="088EA64F" w14:textId="77777777" w:rsidTr="00F27F80">
        <w:tc>
          <w:tcPr>
            <w:tcW w:w="7579" w:type="dxa"/>
            <w:gridSpan w:val="2"/>
          </w:tcPr>
          <w:p w14:paraId="56DA1CC5" w14:textId="77777777" w:rsidR="005D3649" w:rsidRPr="00E4606E" w:rsidRDefault="005D3649">
            <w:pPr>
              <w:jc w:val="center"/>
              <w:rPr>
                <w:rFonts w:eastAsia="Calibri"/>
                <w:szCs w:val="22"/>
                <w:highlight w:val="green"/>
                <w:lang w:val="en-GB"/>
              </w:rPr>
            </w:pPr>
            <w:r w:rsidRPr="000E7493">
              <w:rPr>
                <w:rFonts w:eastAsia="Calibri"/>
                <w:noProof/>
                <w:szCs w:val="22"/>
                <w:lang w:val="en-GB"/>
                <w14:ligatures w14:val="standardContextual"/>
              </w:rPr>
              <w:drawing>
                <wp:inline distT="0" distB="0" distL="0" distR="0" wp14:anchorId="555F499E" wp14:editId="73A9819F">
                  <wp:extent cx="1487558" cy="1527106"/>
                  <wp:effectExtent l="0" t="635" r="0" b="0"/>
                  <wp:docPr id="1610952976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952976" name="Obrázek 1610952976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36" t="16924" r="38925" b="16364"/>
                          <a:stretch/>
                        </pic:blipFill>
                        <pic:spPr bwMode="auto">
                          <a:xfrm rot="5400000">
                            <a:off x="0" y="0"/>
                            <a:ext cx="1501313" cy="1541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649" w:rsidRPr="0070296E" w14:paraId="7A024846" w14:textId="77777777" w:rsidTr="00F27F80">
        <w:tc>
          <w:tcPr>
            <w:tcW w:w="7579" w:type="dxa"/>
            <w:gridSpan w:val="2"/>
          </w:tcPr>
          <w:p w14:paraId="7F421BB7" w14:textId="77777777" w:rsidR="000E7493" w:rsidRDefault="000E7493">
            <w:pPr>
              <w:jc w:val="center"/>
              <w:rPr>
                <w:rFonts w:eastAsia="Calibri"/>
                <w:sz w:val="18"/>
                <w:szCs w:val="18"/>
                <w:lang w:val="en-GB"/>
              </w:rPr>
            </w:pPr>
          </w:p>
          <w:p w14:paraId="57DC8D13" w14:textId="77777777" w:rsidR="000E7493" w:rsidRDefault="000E7493">
            <w:pPr>
              <w:jc w:val="center"/>
              <w:rPr>
                <w:rFonts w:eastAsia="Calibri"/>
                <w:sz w:val="18"/>
                <w:szCs w:val="18"/>
                <w:lang w:val="en-GB"/>
              </w:rPr>
            </w:pPr>
          </w:p>
          <w:p w14:paraId="638ED806" w14:textId="2DB4C46E" w:rsidR="005D3649" w:rsidRPr="00E4606E" w:rsidRDefault="005D3649">
            <w:pPr>
              <w:jc w:val="center"/>
              <w:rPr>
                <w:rFonts w:eastAsia="Calibri"/>
                <w:szCs w:val="22"/>
                <w:highlight w:val="green"/>
                <w:lang w:val="en-GB"/>
              </w:rPr>
            </w:pPr>
            <w:r w:rsidRPr="000E7493">
              <w:rPr>
                <w:rFonts w:eastAsia="Calibri"/>
                <w:sz w:val="18"/>
                <w:szCs w:val="18"/>
                <w:lang w:val="en-GB"/>
              </w:rPr>
              <w:t>c) peeling failure</w:t>
            </w:r>
            <w:r w:rsidR="00900D65" w:rsidRPr="000E7493">
              <w:rPr>
                <w:rFonts w:eastAsia="Calibri"/>
                <w:sz w:val="18"/>
                <w:szCs w:val="18"/>
                <w:lang w:val="en-GB"/>
              </w:rPr>
              <w:t xml:space="preserve">, </w:t>
            </w:r>
            <w:r w:rsidR="00BA6F6C">
              <w:rPr>
                <w:rFonts w:eastAsia="Calibri"/>
                <w:sz w:val="18"/>
                <w:szCs w:val="18"/>
                <w:lang w:val="en-GB"/>
              </w:rPr>
              <w:t>billet</w:t>
            </w:r>
            <w:r w:rsidR="00900D65" w:rsidRPr="000E7493">
              <w:rPr>
                <w:rFonts w:eastAsia="Calibri"/>
                <w:sz w:val="18"/>
                <w:szCs w:val="18"/>
                <w:lang w:val="en-GB"/>
              </w:rPr>
              <w:t>s are not in touch during peeling</w:t>
            </w:r>
          </w:p>
        </w:tc>
      </w:tr>
    </w:tbl>
    <w:p w14:paraId="449BAD6D" w14:textId="7AE0231C" w:rsidR="005D3649" w:rsidRPr="0070296E" w:rsidRDefault="005D3649" w:rsidP="0070296E">
      <w:pPr>
        <w:pStyle w:val="Titulek"/>
        <w:jc w:val="center"/>
        <w:rPr>
          <w:rFonts w:eastAsia="Calibri"/>
          <w:lang w:val="en-GB"/>
        </w:rPr>
      </w:pPr>
      <w:r w:rsidRPr="0070296E">
        <w:rPr>
          <w:rFonts w:eastAsia="Calibri"/>
          <w:bCs/>
          <w:lang w:val="en-GB"/>
        </w:rPr>
        <w:t xml:space="preserve">Fig. </w:t>
      </w:r>
      <w:r w:rsidR="00F27F80">
        <w:rPr>
          <w:rFonts w:eastAsia="Calibri"/>
          <w:bCs/>
          <w:lang w:val="en-GB"/>
        </w:rPr>
        <w:t>2</w:t>
      </w:r>
      <w:r w:rsidRPr="0070296E">
        <w:rPr>
          <w:rFonts w:eastAsia="Calibri"/>
          <w:bCs/>
          <w:lang w:val="en-GB"/>
        </w:rPr>
        <w:t xml:space="preserve"> </w:t>
      </w:r>
      <w:r w:rsidR="000E7493">
        <w:rPr>
          <w:rFonts w:eastAsia="Calibri"/>
          <w:b w:val="0"/>
          <w:bCs/>
          <w:lang w:val="en-GB"/>
        </w:rPr>
        <w:t xml:space="preserve">examples of not allowed defects after </w:t>
      </w:r>
      <w:proofErr w:type="gramStart"/>
      <w:r w:rsidR="000E7493">
        <w:rPr>
          <w:rFonts w:eastAsia="Calibri"/>
          <w:b w:val="0"/>
          <w:bCs/>
          <w:lang w:val="en-GB"/>
        </w:rPr>
        <w:t>peeling</w:t>
      </w:r>
      <w:proofErr w:type="gramEnd"/>
    </w:p>
    <w:p w14:paraId="493336AF" w14:textId="77777777" w:rsidR="000E7493" w:rsidRDefault="000E7493">
      <w:pPr>
        <w:spacing w:after="160" w:line="259" w:lineRule="auto"/>
        <w:rPr>
          <w:rFonts w:eastAsiaTheme="majorEastAsia" w:cstheme="majorBidi"/>
          <w:b/>
          <w:color w:val="000000" w:themeColor="text1"/>
          <w:sz w:val="28"/>
          <w:szCs w:val="26"/>
          <w:lang w:val="en-GB"/>
        </w:rPr>
      </w:pPr>
      <w:r>
        <w:rPr>
          <w:lang w:val="en-GB"/>
        </w:rPr>
        <w:br w:type="page"/>
      </w:r>
    </w:p>
    <w:p w14:paraId="2954C8F5" w14:textId="431CF6C2" w:rsidR="005D3649" w:rsidRPr="0070296E" w:rsidRDefault="005D3649" w:rsidP="0070296E">
      <w:pPr>
        <w:pStyle w:val="Nadpis2"/>
        <w:rPr>
          <w:lang w:val="en-GB"/>
        </w:rPr>
      </w:pPr>
      <w:r w:rsidRPr="0070296E">
        <w:rPr>
          <w:lang w:val="en-GB"/>
        </w:rPr>
        <w:lastRenderedPageBreak/>
        <w:t>OTHER APPLICABLE NORM STANDARDS AND DOCUMENTS</w:t>
      </w:r>
    </w:p>
    <w:tbl>
      <w:tblPr>
        <w:tblStyle w:val="Mkatabulky"/>
        <w:tblW w:w="0" w:type="auto"/>
        <w:tblInd w:w="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6096"/>
      </w:tblGrid>
      <w:tr w:rsidR="005D3649" w:rsidRPr="0070296E" w14:paraId="65936731" w14:textId="77777777">
        <w:trPr>
          <w:trHeight w:val="510"/>
        </w:trPr>
        <w:tc>
          <w:tcPr>
            <w:tcW w:w="2976" w:type="dxa"/>
            <w:vAlign w:val="center"/>
          </w:tcPr>
          <w:p w14:paraId="19DBD2BF" w14:textId="77777777" w:rsidR="005D3649" w:rsidRPr="0070296E" w:rsidRDefault="005D3649">
            <w:pPr>
              <w:rPr>
                <w:rFonts w:eastAsia="Calibri"/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SAF Packaging instructions</w:t>
            </w:r>
          </w:p>
        </w:tc>
        <w:tc>
          <w:tcPr>
            <w:tcW w:w="6096" w:type="dxa"/>
            <w:vAlign w:val="center"/>
          </w:tcPr>
          <w:p w14:paraId="2130BB6F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</w:p>
        </w:tc>
      </w:tr>
      <w:tr w:rsidR="005D3649" w:rsidRPr="0070296E" w14:paraId="1A9888AD" w14:textId="77777777">
        <w:trPr>
          <w:trHeight w:val="510"/>
        </w:trPr>
        <w:tc>
          <w:tcPr>
            <w:tcW w:w="2976" w:type="dxa"/>
            <w:vAlign w:val="center"/>
          </w:tcPr>
          <w:p w14:paraId="62EAA2C8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515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5E73C6A5" w14:textId="6F4B03D8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Aluminium and aluminium alloys – Wrought products – Temper designations</w:t>
            </w:r>
          </w:p>
        </w:tc>
      </w:tr>
      <w:tr w:rsidR="005D3649" w:rsidRPr="0070296E" w14:paraId="07D0D72A" w14:textId="77777777">
        <w:trPr>
          <w:trHeight w:val="510"/>
        </w:trPr>
        <w:tc>
          <w:tcPr>
            <w:tcW w:w="2976" w:type="dxa"/>
            <w:vAlign w:val="center"/>
          </w:tcPr>
          <w:p w14:paraId="68C01B6E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573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2CE928D9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Aluminium and aluminium alloys – Chemical composition and form of wrought products</w:t>
            </w:r>
          </w:p>
        </w:tc>
      </w:tr>
      <w:tr w:rsidR="005D3649" w:rsidRPr="0070296E" w14:paraId="36874323" w14:textId="77777777">
        <w:trPr>
          <w:trHeight w:val="510"/>
        </w:trPr>
        <w:tc>
          <w:tcPr>
            <w:tcW w:w="2976" w:type="dxa"/>
            <w:vAlign w:val="center"/>
          </w:tcPr>
          <w:p w14:paraId="71DB20ED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604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7E8B068D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Aluminium and aluminium alloys – Cast forging stock</w:t>
            </w:r>
          </w:p>
        </w:tc>
      </w:tr>
      <w:tr w:rsidR="005D3649" w:rsidRPr="0070296E" w14:paraId="0118F985" w14:textId="77777777">
        <w:trPr>
          <w:trHeight w:val="510"/>
        </w:trPr>
        <w:tc>
          <w:tcPr>
            <w:tcW w:w="2976" w:type="dxa"/>
            <w:vAlign w:val="center"/>
          </w:tcPr>
          <w:p w14:paraId="7E276F8D" w14:textId="2EC7C303" w:rsidR="005D3649" w:rsidRPr="00D7111D" w:rsidRDefault="005D3649">
            <w:pPr>
              <w:rPr>
                <w:b/>
                <w:bCs/>
                <w:szCs w:val="22"/>
                <w:lang w:val="en-GB"/>
              </w:rPr>
            </w:pPr>
            <w:r w:rsidRPr="00D7111D">
              <w:rPr>
                <w:rFonts w:eastAsia="Calibri"/>
                <w:b/>
                <w:bCs/>
                <w:szCs w:val="22"/>
                <w:lang w:val="en-GB"/>
              </w:rPr>
              <w:t>ASTM E 2375</w:t>
            </w:r>
          </w:p>
        </w:tc>
        <w:tc>
          <w:tcPr>
            <w:tcW w:w="6096" w:type="dxa"/>
            <w:vAlign w:val="center"/>
          </w:tcPr>
          <w:p w14:paraId="49EF6C42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Standard Practice for Ultrasonic Inspection of Aluminium – Alloy Wrought Products</w:t>
            </w:r>
          </w:p>
        </w:tc>
      </w:tr>
      <w:tr w:rsidR="005D3649" w:rsidRPr="0070296E" w14:paraId="741B2C0F" w14:textId="77777777">
        <w:trPr>
          <w:trHeight w:val="510"/>
        </w:trPr>
        <w:tc>
          <w:tcPr>
            <w:tcW w:w="2976" w:type="dxa"/>
            <w:vAlign w:val="center"/>
          </w:tcPr>
          <w:p w14:paraId="340FC811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ISO 6506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5C7AF523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Metallic materials – Brinell hardness test</w:t>
            </w:r>
          </w:p>
        </w:tc>
      </w:tr>
      <w:tr w:rsidR="005D3649" w:rsidRPr="0070296E" w14:paraId="2D59ED54" w14:textId="77777777">
        <w:trPr>
          <w:trHeight w:val="510"/>
        </w:trPr>
        <w:tc>
          <w:tcPr>
            <w:tcW w:w="2976" w:type="dxa"/>
            <w:vAlign w:val="center"/>
          </w:tcPr>
          <w:p w14:paraId="51762E50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ISO 6892</w:t>
            </w:r>
          </w:p>
        </w:tc>
        <w:tc>
          <w:tcPr>
            <w:tcW w:w="6096" w:type="dxa"/>
            <w:vAlign w:val="center"/>
          </w:tcPr>
          <w:p w14:paraId="3DDB9E6F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Metallic materials – Tensile testing</w:t>
            </w:r>
          </w:p>
        </w:tc>
      </w:tr>
      <w:tr w:rsidR="005D3649" w:rsidRPr="0070296E" w14:paraId="3DA824C8" w14:textId="77777777">
        <w:trPr>
          <w:trHeight w:val="510"/>
        </w:trPr>
        <w:tc>
          <w:tcPr>
            <w:tcW w:w="2976" w:type="dxa"/>
            <w:vAlign w:val="center"/>
          </w:tcPr>
          <w:p w14:paraId="6DF283A8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EN ISO 14001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0BB1C390" w14:textId="7262FEAC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Environmental management systems – Requirements with guidance for use</w:t>
            </w:r>
          </w:p>
        </w:tc>
      </w:tr>
      <w:tr w:rsidR="005D3649" w:rsidRPr="0070296E" w14:paraId="42DAB5D8" w14:textId="77777777">
        <w:trPr>
          <w:trHeight w:val="510"/>
        </w:trPr>
        <w:tc>
          <w:tcPr>
            <w:tcW w:w="2976" w:type="dxa"/>
            <w:vAlign w:val="center"/>
          </w:tcPr>
          <w:p w14:paraId="7697F2B5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IATF 16949</w:t>
            </w:r>
          </w:p>
        </w:tc>
        <w:tc>
          <w:tcPr>
            <w:tcW w:w="6096" w:type="dxa"/>
            <w:vAlign w:val="center"/>
          </w:tcPr>
          <w:p w14:paraId="3E46F2BB" w14:textId="2863DFEC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Quality management system requirements for automotive production and relevant service parts organisations</w:t>
            </w:r>
          </w:p>
        </w:tc>
      </w:tr>
      <w:tr w:rsidR="005D3649" w:rsidRPr="0070296E" w14:paraId="3AFC8688" w14:textId="77777777">
        <w:trPr>
          <w:trHeight w:val="510"/>
        </w:trPr>
        <w:tc>
          <w:tcPr>
            <w:tcW w:w="2976" w:type="dxa"/>
            <w:vAlign w:val="center"/>
          </w:tcPr>
          <w:p w14:paraId="5B7EE500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DIN 50125</w:t>
            </w:r>
          </w:p>
        </w:tc>
        <w:tc>
          <w:tcPr>
            <w:tcW w:w="6096" w:type="dxa"/>
            <w:vAlign w:val="center"/>
          </w:tcPr>
          <w:p w14:paraId="2E24206B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Testing of metallic materials – Tensile test pieces</w:t>
            </w:r>
          </w:p>
        </w:tc>
      </w:tr>
      <w:tr w:rsidR="005D3649" w:rsidRPr="0070296E" w14:paraId="2F6FF37F" w14:textId="77777777">
        <w:trPr>
          <w:trHeight w:val="510"/>
        </w:trPr>
        <w:tc>
          <w:tcPr>
            <w:tcW w:w="2976" w:type="dxa"/>
            <w:vAlign w:val="center"/>
          </w:tcPr>
          <w:p w14:paraId="04C1EB33" w14:textId="77777777" w:rsidR="005D3649" w:rsidRPr="0070296E" w:rsidRDefault="005D3649">
            <w:pPr>
              <w:rPr>
                <w:rFonts w:eastAsia="Calibri"/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VDA Band 6 ff.</w:t>
            </w:r>
          </w:p>
        </w:tc>
        <w:tc>
          <w:tcPr>
            <w:tcW w:w="6096" w:type="dxa"/>
            <w:vAlign w:val="center"/>
          </w:tcPr>
          <w:p w14:paraId="1E68A433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</w:p>
        </w:tc>
      </w:tr>
      <w:tr w:rsidR="005D3649" w:rsidRPr="0070296E" w14:paraId="0E5FF3F9" w14:textId="77777777">
        <w:trPr>
          <w:trHeight w:val="510"/>
        </w:trPr>
        <w:tc>
          <w:tcPr>
            <w:tcW w:w="2976" w:type="dxa"/>
            <w:vAlign w:val="center"/>
          </w:tcPr>
          <w:p w14:paraId="74DD271A" w14:textId="77777777" w:rsidR="005D3649" w:rsidRPr="0070296E" w:rsidRDefault="005D3649">
            <w:pPr>
              <w:rPr>
                <w:rFonts w:eastAsia="Calibri"/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REACH</w:t>
            </w:r>
          </w:p>
        </w:tc>
        <w:tc>
          <w:tcPr>
            <w:tcW w:w="6096" w:type="dxa"/>
            <w:vAlign w:val="center"/>
          </w:tcPr>
          <w:p w14:paraId="6331F3B9" w14:textId="77777777" w:rsidR="005D3649" w:rsidRPr="0070296E" w:rsidRDefault="005D3649">
            <w:pPr>
              <w:rPr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Registration, Evaluation, Authorization and Restriction of Chemicals (EU Directive)</w:t>
            </w:r>
          </w:p>
        </w:tc>
      </w:tr>
      <w:tr w:rsidR="005D3649" w:rsidRPr="0070296E" w14:paraId="3D6E43FE" w14:textId="77777777">
        <w:trPr>
          <w:trHeight w:val="510"/>
        </w:trPr>
        <w:tc>
          <w:tcPr>
            <w:tcW w:w="2976" w:type="dxa"/>
            <w:vAlign w:val="center"/>
          </w:tcPr>
          <w:p w14:paraId="121F634A" w14:textId="77777777" w:rsidR="005D3649" w:rsidRPr="0070296E" w:rsidRDefault="005D3649">
            <w:pPr>
              <w:rPr>
                <w:rFonts w:eastAsia="Calibri"/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RoHS</w:t>
            </w:r>
          </w:p>
        </w:tc>
        <w:tc>
          <w:tcPr>
            <w:tcW w:w="6096" w:type="dxa"/>
            <w:vAlign w:val="center"/>
          </w:tcPr>
          <w:p w14:paraId="5930BA77" w14:textId="77777777" w:rsidR="005D3649" w:rsidRPr="0070296E" w:rsidRDefault="005D3649">
            <w:pPr>
              <w:rPr>
                <w:rFonts w:eastAsia="Calibri"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Restriction of Hazardous Substances (EU Directive)</w:t>
            </w:r>
          </w:p>
        </w:tc>
      </w:tr>
      <w:tr w:rsidR="005D3649" w:rsidRPr="0070296E" w14:paraId="26A0C8DD" w14:textId="77777777">
        <w:trPr>
          <w:trHeight w:val="510"/>
        </w:trPr>
        <w:tc>
          <w:tcPr>
            <w:tcW w:w="2976" w:type="dxa"/>
            <w:vAlign w:val="center"/>
          </w:tcPr>
          <w:p w14:paraId="4A333C2B" w14:textId="77777777" w:rsidR="005D3649" w:rsidRPr="0070296E" w:rsidRDefault="005D3649">
            <w:pPr>
              <w:rPr>
                <w:rFonts w:eastAsia="Calibri"/>
                <w:b/>
                <w:bCs/>
                <w:szCs w:val="22"/>
                <w:lang w:val="en-GB"/>
              </w:rPr>
            </w:pPr>
            <w:r w:rsidRPr="0070296E">
              <w:rPr>
                <w:rFonts w:eastAsia="Calibri"/>
                <w:b/>
                <w:bCs/>
                <w:szCs w:val="22"/>
                <w:lang w:val="en-GB"/>
              </w:rPr>
              <w:t>WEEE</w:t>
            </w:r>
            <w:r w:rsidRPr="0070296E">
              <w:rPr>
                <w:rFonts w:eastAsia="Calibri"/>
                <w:b/>
                <w:bCs/>
                <w:szCs w:val="22"/>
                <w:lang w:val="en-GB"/>
              </w:rPr>
              <w:tab/>
            </w:r>
          </w:p>
        </w:tc>
        <w:tc>
          <w:tcPr>
            <w:tcW w:w="6096" w:type="dxa"/>
            <w:vAlign w:val="center"/>
          </w:tcPr>
          <w:p w14:paraId="2A980FBE" w14:textId="77777777" w:rsidR="005D3649" w:rsidRPr="0070296E" w:rsidRDefault="005D3649">
            <w:pPr>
              <w:rPr>
                <w:rFonts w:eastAsia="Calibri"/>
                <w:szCs w:val="22"/>
                <w:lang w:val="en-GB"/>
              </w:rPr>
            </w:pPr>
            <w:r w:rsidRPr="0070296E">
              <w:rPr>
                <w:rFonts w:eastAsia="Calibri"/>
                <w:szCs w:val="22"/>
                <w:lang w:val="en-GB"/>
              </w:rPr>
              <w:t>Waste of Electrical and Electronic Equipment (EU Directive)</w:t>
            </w:r>
          </w:p>
        </w:tc>
      </w:tr>
    </w:tbl>
    <w:p w14:paraId="7EE43F93" w14:textId="5D2F0A73" w:rsidR="008260EF" w:rsidRPr="0070296E" w:rsidRDefault="005D3649" w:rsidP="0070296E">
      <w:pPr>
        <w:pStyle w:val="Text"/>
        <w:rPr>
          <w:rFonts w:eastAsia="Calibri"/>
        </w:rPr>
      </w:pPr>
      <w:r w:rsidRPr="0070296E">
        <w:rPr>
          <w:rFonts w:eastAsia="Calibri"/>
        </w:rPr>
        <w:t>Explicit requirements and quantified limits as specified in this specification are superior to common norm standard definitions.</w:t>
      </w:r>
    </w:p>
    <w:sectPr w:rsidR="008260EF" w:rsidRPr="0070296E" w:rsidSect="00264647">
      <w:headerReference w:type="default" r:id="rId16"/>
      <w:pgSz w:w="11906" w:h="16838"/>
      <w:pgMar w:top="1418" w:right="1021" w:bottom="1418" w:left="1021" w:header="709" w:footer="709" w:gutter="0"/>
      <w:pgBorders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17DE3" w14:textId="77777777" w:rsidR="00264647" w:rsidRDefault="00264647" w:rsidP="005D3649">
      <w:r>
        <w:separator/>
      </w:r>
    </w:p>
  </w:endnote>
  <w:endnote w:type="continuationSeparator" w:id="0">
    <w:p w14:paraId="4A2083F4" w14:textId="77777777" w:rsidR="00264647" w:rsidRDefault="00264647" w:rsidP="005D3649">
      <w:r>
        <w:continuationSeparator/>
      </w:r>
    </w:p>
  </w:endnote>
  <w:endnote w:type="continuationNotice" w:id="1">
    <w:p w14:paraId="45BE7E51" w14:textId="77777777" w:rsidR="00264647" w:rsidRDefault="00264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AB48D" w14:textId="77777777" w:rsidR="00264647" w:rsidRDefault="00264647" w:rsidP="005D3649">
      <w:r>
        <w:separator/>
      </w:r>
    </w:p>
  </w:footnote>
  <w:footnote w:type="continuationSeparator" w:id="0">
    <w:p w14:paraId="512E4433" w14:textId="77777777" w:rsidR="00264647" w:rsidRDefault="00264647" w:rsidP="005D3649">
      <w:r>
        <w:continuationSeparator/>
      </w:r>
    </w:p>
  </w:footnote>
  <w:footnote w:type="continuationNotice" w:id="1">
    <w:p w14:paraId="1F0A0357" w14:textId="77777777" w:rsidR="00264647" w:rsidRDefault="002646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9"/>
      <w:gridCol w:w="612"/>
      <w:gridCol w:w="1654"/>
      <w:gridCol w:w="1465"/>
      <w:gridCol w:w="1890"/>
      <w:gridCol w:w="1892"/>
      <w:gridCol w:w="329"/>
      <w:gridCol w:w="1134"/>
    </w:tblGrid>
    <w:tr w:rsidR="005D3649" w14:paraId="20413AB1" w14:textId="77777777" w:rsidTr="000613C8">
      <w:trPr>
        <w:cantSplit/>
        <w:trHeight w:hRule="exact" w:val="238"/>
        <w:jc w:val="center"/>
      </w:trPr>
      <w:tc>
        <w:tcPr>
          <w:tcW w:w="1701" w:type="dxa"/>
          <w:gridSpan w:val="2"/>
          <w:vMerge w:val="restart"/>
          <w:tcBorders>
            <w:top w:val="double" w:sz="12" w:space="0" w:color="auto"/>
            <w:left w:val="double" w:sz="12" w:space="0" w:color="auto"/>
            <w:bottom w:val="double" w:sz="12" w:space="0" w:color="auto"/>
            <w:right w:val="double" w:sz="12" w:space="0" w:color="auto"/>
          </w:tcBorders>
          <w:vAlign w:val="center"/>
        </w:tcPr>
        <w:p w14:paraId="09B201E8" w14:textId="634ACE7D" w:rsidR="005D3649" w:rsidRDefault="005D3649" w:rsidP="00167EF7">
          <w:pPr>
            <w:pStyle w:val="Nzev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0" allowOverlap="1" wp14:anchorId="101944F6" wp14:editId="0E12090B">
                <wp:simplePos x="0" y="0"/>
                <wp:positionH relativeFrom="column">
                  <wp:posOffset>29210</wp:posOffset>
                </wp:positionH>
                <wp:positionV relativeFrom="paragraph">
                  <wp:posOffset>24130</wp:posOffset>
                </wp:positionV>
                <wp:extent cx="922020" cy="262890"/>
                <wp:effectExtent l="0" t="0" r="0" b="3810"/>
                <wp:wrapNone/>
                <wp:docPr id="49653280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2628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30" w:type="dxa"/>
          <w:gridSpan w:val="5"/>
          <w:vMerge w:val="restart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shd w:val="pct10" w:color="000000" w:fill="FFFFFF"/>
          <w:vAlign w:val="center"/>
        </w:tcPr>
        <w:p w14:paraId="0CFFE9AA" w14:textId="772740AE" w:rsidR="005D3649" w:rsidRDefault="000F69C2" w:rsidP="005D3649">
          <w:pPr>
            <w:pStyle w:val="Nzev"/>
            <w:rPr>
              <w:sz w:val="48"/>
              <w:u w:val="none"/>
            </w:rPr>
          </w:pPr>
          <w:r>
            <w:t xml:space="preserve">Annex 1: </w:t>
          </w:r>
          <w:r w:rsidR="009542C9">
            <w:rPr>
              <w:rFonts w:cs="Arial"/>
            </w:rPr>
            <w:t xml:space="preserve">Technical Specification </w:t>
          </w:r>
          <w:r w:rsidR="00B75B5A">
            <w:rPr>
              <w:rFonts w:cs="Arial"/>
            </w:rPr>
            <w:t>–</w:t>
          </w:r>
          <w:r w:rsidR="009542C9">
            <w:rPr>
              <w:rFonts w:cs="Arial"/>
            </w:rPr>
            <w:t xml:space="preserve"> </w:t>
          </w:r>
          <w:r w:rsidR="00B75B5A">
            <w:t>Guaranteed parameters of billets</w:t>
          </w:r>
        </w:p>
      </w:tc>
      <w:tc>
        <w:tcPr>
          <w:tcW w:w="1134" w:type="dxa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shd w:val="pct10" w:color="000000" w:fill="FFFFFF"/>
          <w:vAlign w:val="center"/>
        </w:tcPr>
        <w:p w14:paraId="50B3E411" w14:textId="77777777" w:rsidR="005D3649" w:rsidRDefault="005D3649" w:rsidP="005D3649">
          <w:pPr>
            <w:pStyle w:val="Nzev"/>
            <w:rPr>
              <w:b w:val="0"/>
              <w:caps w:val="0"/>
              <w:sz w:val="54"/>
            </w:rPr>
          </w:pPr>
        </w:p>
      </w:tc>
    </w:tr>
    <w:tr w:rsidR="005D3649" w14:paraId="1213E5CA" w14:textId="77777777" w:rsidTr="000613C8">
      <w:trPr>
        <w:cantSplit/>
        <w:trHeight w:hRule="exact" w:val="472"/>
        <w:jc w:val="center"/>
      </w:trPr>
      <w:tc>
        <w:tcPr>
          <w:tcW w:w="1701" w:type="dxa"/>
          <w:gridSpan w:val="2"/>
          <w:vMerge/>
          <w:tcBorders>
            <w:top w:val="nil"/>
            <w:left w:val="double" w:sz="12" w:space="0" w:color="auto"/>
            <w:bottom w:val="double" w:sz="12" w:space="0" w:color="auto"/>
            <w:right w:val="double" w:sz="12" w:space="0" w:color="auto"/>
          </w:tcBorders>
        </w:tcPr>
        <w:p w14:paraId="01755BF7" w14:textId="77777777" w:rsidR="005D3649" w:rsidRDefault="005D3649" w:rsidP="005D3649">
          <w:pPr>
            <w:pStyle w:val="Nzev"/>
          </w:pPr>
        </w:p>
      </w:tc>
      <w:tc>
        <w:tcPr>
          <w:tcW w:w="7230" w:type="dxa"/>
          <w:gridSpan w:val="5"/>
          <w:vMerge/>
          <w:tcBorders>
            <w:top w:val="nil"/>
            <w:left w:val="nil"/>
            <w:bottom w:val="nil"/>
            <w:right w:val="single" w:sz="18" w:space="0" w:color="auto"/>
          </w:tcBorders>
          <w:vAlign w:val="center"/>
        </w:tcPr>
        <w:p w14:paraId="0E55C709" w14:textId="77777777" w:rsidR="005D3649" w:rsidRDefault="005D3649" w:rsidP="005D3649">
          <w:pPr>
            <w:pStyle w:val="Nzev"/>
            <w:rPr>
              <w:caps w:val="0"/>
              <w:sz w:val="48"/>
              <w:u w:val="none"/>
            </w:rPr>
          </w:pPr>
        </w:p>
      </w:tc>
      <w:tc>
        <w:tcPr>
          <w:tcW w:w="1134" w:type="dxa"/>
          <w:tcBorders>
            <w:top w:val="nil"/>
            <w:left w:val="nil"/>
            <w:bottom w:val="nil"/>
            <w:right w:val="single" w:sz="18" w:space="0" w:color="auto"/>
          </w:tcBorders>
          <w:shd w:val="pct10" w:color="000000" w:fill="FFFFFF"/>
        </w:tcPr>
        <w:p w14:paraId="0BC14F82" w14:textId="77777777" w:rsidR="005D3649" w:rsidRDefault="005D3649" w:rsidP="005D3649">
          <w:pPr>
            <w:pStyle w:val="Nzev"/>
            <w:rPr>
              <w:b w:val="0"/>
              <w:caps w:val="0"/>
              <w:sz w:val="54"/>
            </w:rPr>
          </w:pPr>
          <w:r>
            <w:rPr>
              <w:b w:val="0"/>
              <w:caps w:val="0"/>
              <w:sz w:val="22"/>
              <w:u w:val="none"/>
            </w:rPr>
            <w:t>List:</w:t>
          </w:r>
        </w:p>
      </w:tc>
    </w:tr>
    <w:tr w:rsidR="005D3649" w14:paraId="3C1CD843" w14:textId="77777777" w:rsidTr="000613C8">
      <w:trPr>
        <w:cantSplit/>
        <w:trHeight w:val="39"/>
        <w:jc w:val="center"/>
      </w:trPr>
      <w:tc>
        <w:tcPr>
          <w:tcW w:w="1701" w:type="dxa"/>
          <w:gridSpan w:val="2"/>
          <w:vMerge/>
          <w:tcBorders>
            <w:top w:val="nil"/>
            <w:left w:val="double" w:sz="12" w:space="0" w:color="auto"/>
            <w:bottom w:val="double" w:sz="12" w:space="0" w:color="auto"/>
            <w:right w:val="double" w:sz="12" w:space="0" w:color="auto"/>
          </w:tcBorders>
        </w:tcPr>
        <w:p w14:paraId="20633104" w14:textId="77777777" w:rsidR="005D3649" w:rsidRDefault="005D3649" w:rsidP="005D3649">
          <w:pPr>
            <w:pStyle w:val="Nzev"/>
          </w:pPr>
        </w:p>
      </w:tc>
      <w:tc>
        <w:tcPr>
          <w:tcW w:w="7230" w:type="dxa"/>
          <w:gridSpan w:val="5"/>
          <w:vMerge/>
          <w:tcBorders>
            <w:top w:val="nil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185C323F" w14:textId="77777777" w:rsidR="005D3649" w:rsidRDefault="005D3649" w:rsidP="005D3649">
          <w:pPr>
            <w:pStyle w:val="Nzev"/>
            <w:rPr>
              <w:caps w:val="0"/>
              <w:sz w:val="48"/>
              <w:u w:val="none"/>
            </w:rPr>
          </w:pPr>
        </w:p>
      </w:tc>
      <w:tc>
        <w:tcPr>
          <w:tcW w:w="1134" w:type="dxa"/>
          <w:tcBorders>
            <w:top w:val="nil"/>
            <w:left w:val="nil"/>
            <w:bottom w:val="single" w:sz="18" w:space="0" w:color="auto"/>
            <w:right w:val="single" w:sz="18" w:space="0" w:color="auto"/>
          </w:tcBorders>
          <w:shd w:val="pct10" w:color="000000" w:fill="FFFFFF"/>
        </w:tcPr>
        <w:p w14:paraId="2400572B" w14:textId="77777777" w:rsidR="005D3649" w:rsidRDefault="005D3649" w:rsidP="005D3649">
          <w:pPr>
            <w:pStyle w:val="Nzev"/>
            <w:rPr>
              <w:caps w:val="0"/>
              <w:sz w:val="32"/>
              <w:u w:val="none"/>
            </w:rPr>
          </w:pPr>
          <w:r w:rsidRPr="00F7297E">
            <w:rPr>
              <w:caps w:val="0"/>
              <w:sz w:val="32"/>
              <w:u w:val="none"/>
            </w:rPr>
            <w:fldChar w:fldCharType="begin"/>
          </w:r>
          <w:r w:rsidRPr="00F7297E">
            <w:rPr>
              <w:caps w:val="0"/>
              <w:sz w:val="32"/>
              <w:u w:val="none"/>
            </w:rPr>
            <w:instrText>PAGE   \* MERGEFORMAT</w:instrText>
          </w:r>
          <w:r w:rsidRPr="00F7297E">
            <w:rPr>
              <w:caps w:val="0"/>
              <w:sz w:val="32"/>
              <w:u w:val="none"/>
            </w:rPr>
            <w:fldChar w:fldCharType="separate"/>
          </w:r>
          <w:r w:rsidRPr="00F7297E">
            <w:rPr>
              <w:caps w:val="0"/>
              <w:sz w:val="32"/>
              <w:u w:val="none"/>
            </w:rPr>
            <w:t>1</w:t>
          </w:r>
          <w:r w:rsidRPr="00F7297E">
            <w:rPr>
              <w:caps w:val="0"/>
              <w:sz w:val="32"/>
              <w:u w:val="none"/>
            </w:rPr>
            <w:fldChar w:fldCharType="end"/>
          </w:r>
          <w:r>
            <w:rPr>
              <w:caps w:val="0"/>
              <w:sz w:val="32"/>
              <w:u w:val="none"/>
            </w:rPr>
            <w:t xml:space="preserve"> / </w:t>
          </w:r>
          <w:r w:rsidRPr="00875E90">
            <w:rPr>
              <w:sz w:val="32"/>
              <w:szCs w:val="22"/>
              <w:u w:val="none"/>
            </w:rPr>
            <w:fldChar w:fldCharType="begin"/>
          </w:r>
          <w:r w:rsidRPr="00875E90">
            <w:rPr>
              <w:sz w:val="32"/>
              <w:szCs w:val="22"/>
              <w:u w:val="none"/>
            </w:rPr>
            <w:instrText>NUMPAGES  \* Arabic  \* MERGEFORMAT</w:instrText>
          </w:r>
          <w:r w:rsidRPr="00875E90">
            <w:rPr>
              <w:sz w:val="32"/>
              <w:szCs w:val="22"/>
              <w:u w:val="none"/>
            </w:rPr>
            <w:fldChar w:fldCharType="separate"/>
          </w:r>
          <w:r w:rsidRPr="00875E90">
            <w:rPr>
              <w:sz w:val="32"/>
              <w:szCs w:val="22"/>
              <w:u w:val="none"/>
            </w:rPr>
            <w:t>1</w:t>
          </w:r>
          <w:r w:rsidRPr="00875E90">
            <w:rPr>
              <w:sz w:val="32"/>
              <w:szCs w:val="22"/>
              <w:u w:val="none"/>
            </w:rPr>
            <w:fldChar w:fldCharType="end"/>
          </w:r>
        </w:p>
      </w:tc>
    </w:tr>
    <w:tr w:rsidR="000613C8" w14:paraId="01867974" w14:textId="77777777">
      <w:trPr>
        <w:cantSplit/>
        <w:trHeight w:val="1199"/>
        <w:jc w:val="center"/>
      </w:trPr>
      <w:tc>
        <w:tcPr>
          <w:tcW w:w="10065" w:type="dxa"/>
          <w:gridSpan w:val="8"/>
          <w:tcBorders>
            <w:top w:val="nil"/>
            <w:left w:val="single" w:sz="18" w:space="0" w:color="auto"/>
            <w:right w:val="single" w:sz="18" w:space="0" w:color="auto"/>
          </w:tcBorders>
        </w:tcPr>
        <w:p w14:paraId="12EE67FD" w14:textId="77777777" w:rsidR="000613C8" w:rsidRDefault="000613C8" w:rsidP="005D3649">
          <w:pPr>
            <w:pStyle w:val="Nadpis1"/>
            <w:jc w:val="left"/>
          </w:pPr>
          <w:r>
            <w:t>Name:</w:t>
          </w:r>
        </w:p>
        <w:p w14:paraId="6C1BD527" w14:textId="4CCA6AAA" w:rsidR="000613C8" w:rsidRPr="00C12586" w:rsidRDefault="000613C8" w:rsidP="005D3649">
          <w:pPr>
            <w:pStyle w:val="Nadpis1"/>
            <w:rPr>
              <w:b/>
              <w:caps/>
              <w:sz w:val="28"/>
            </w:rPr>
          </w:pPr>
          <w:r w:rsidRPr="00C12586">
            <w:rPr>
              <w:b/>
              <w:caps/>
              <w:sz w:val="28"/>
            </w:rPr>
            <w:t xml:space="preserve">TEchnical specification of horizontal casted and peeled aluminium </w:t>
          </w:r>
          <w:r w:rsidR="00BA6F6C">
            <w:rPr>
              <w:b/>
              <w:caps/>
              <w:sz w:val="28"/>
            </w:rPr>
            <w:t>billets</w:t>
          </w:r>
          <w:r w:rsidRPr="00C12586">
            <w:rPr>
              <w:b/>
              <w:caps/>
              <w:sz w:val="28"/>
            </w:rPr>
            <w:t xml:space="preserve"> for forging of safety comPOnents </w:t>
          </w:r>
        </w:p>
        <w:p w14:paraId="3D79B7A1" w14:textId="2726CBC4" w:rsidR="000613C8" w:rsidRDefault="000613C8" w:rsidP="005D3649">
          <w:pPr>
            <w:pStyle w:val="Nadpis1"/>
            <w:jc w:val="left"/>
          </w:pPr>
        </w:p>
      </w:tc>
    </w:tr>
    <w:tr w:rsidR="005D3649" w14:paraId="0B8995E8" w14:textId="77777777" w:rsidTr="00DB3DFC">
      <w:trPr>
        <w:cantSplit/>
        <w:jc w:val="center"/>
      </w:trPr>
      <w:tc>
        <w:tcPr>
          <w:tcW w:w="1089" w:type="dxa"/>
          <w:tcBorders>
            <w:top w:val="single" w:sz="12" w:space="0" w:color="auto"/>
            <w:left w:val="single" w:sz="18" w:space="0" w:color="auto"/>
            <w:bottom w:val="single" w:sz="12" w:space="0" w:color="auto"/>
            <w:right w:val="nil"/>
          </w:tcBorders>
        </w:tcPr>
        <w:p w14:paraId="5DC633BD" w14:textId="01D8D472" w:rsidR="005D3649" w:rsidRDefault="005D3649" w:rsidP="005D3649">
          <w:pPr>
            <w:rPr>
              <w:sz w:val="24"/>
            </w:rPr>
          </w:pPr>
          <w:proofErr w:type="spellStart"/>
          <w:r>
            <w:rPr>
              <w:sz w:val="24"/>
            </w:rPr>
            <w:t>Rev</w:t>
          </w:r>
          <w:r w:rsidR="000613C8">
            <w:rPr>
              <w:sz w:val="24"/>
            </w:rPr>
            <w:t>ision</w:t>
          </w:r>
          <w:proofErr w:type="spellEnd"/>
          <w:r>
            <w:rPr>
              <w:sz w:val="24"/>
            </w:rPr>
            <w:t>:</w:t>
          </w:r>
        </w:p>
      </w:tc>
      <w:tc>
        <w:tcPr>
          <w:tcW w:w="2266" w:type="dxa"/>
          <w:gridSpan w:val="2"/>
          <w:vMerge w:val="restart"/>
          <w:tcBorders>
            <w:top w:val="single" w:sz="12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17BBD0E0" w14:textId="77777777" w:rsidR="005D3649" w:rsidRDefault="005D3649" w:rsidP="005D3649">
          <w:pPr>
            <w:jc w:val="center"/>
            <w:rPr>
              <w:b/>
              <w:sz w:val="32"/>
            </w:rPr>
          </w:pPr>
          <w:r w:rsidRPr="00C12586">
            <w:rPr>
              <w:b/>
              <w:sz w:val="32"/>
            </w:rPr>
            <w:t>01</w:t>
          </w:r>
        </w:p>
      </w:tc>
      <w:tc>
        <w:tcPr>
          <w:tcW w:w="1465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14:paraId="1B48D47B" w14:textId="5A7E5EAB" w:rsidR="005D3649" w:rsidRDefault="000613C8" w:rsidP="005D3649">
          <w:pPr>
            <w:rPr>
              <w:sz w:val="24"/>
            </w:rPr>
          </w:pPr>
          <w:proofErr w:type="spellStart"/>
          <w:r>
            <w:rPr>
              <w:sz w:val="24"/>
            </w:rPr>
            <w:t>Valid</w:t>
          </w:r>
          <w:proofErr w:type="spellEnd"/>
          <w:r>
            <w:rPr>
              <w:sz w:val="24"/>
            </w:rPr>
            <w:t xml:space="preserve"> </w:t>
          </w:r>
          <w:proofErr w:type="spellStart"/>
          <w:r>
            <w:rPr>
              <w:sz w:val="24"/>
            </w:rPr>
            <w:t>from</w:t>
          </w:r>
          <w:proofErr w:type="spellEnd"/>
          <w:r w:rsidR="005D3649">
            <w:rPr>
              <w:sz w:val="24"/>
            </w:rPr>
            <w:t>:</w:t>
          </w:r>
        </w:p>
      </w:tc>
      <w:tc>
        <w:tcPr>
          <w:tcW w:w="1890" w:type="dxa"/>
          <w:vMerge w:val="restart"/>
          <w:tcBorders>
            <w:top w:val="single" w:sz="12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540C2183" w14:textId="47AFB1C2" w:rsidR="005D3649" w:rsidRDefault="00B06DDB" w:rsidP="005D3649">
          <w:pPr>
            <w:jc w:val="center"/>
            <w:rPr>
              <w:b/>
              <w:sz w:val="32"/>
            </w:rPr>
          </w:pPr>
          <w:r w:rsidRPr="00C12586">
            <w:rPr>
              <w:b/>
              <w:sz w:val="32"/>
            </w:rPr>
            <w:t>0</w:t>
          </w:r>
          <w:r w:rsidR="005D3649" w:rsidRPr="00C12586">
            <w:rPr>
              <w:b/>
              <w:sz w:val="32"/>
            </w:rPr>
            <w:t>1.</w:t>
          </w:r>
          <w:r w:rsidRPr="00C12586">
            <w:rPr>
              <w:b/>
              <w:sz w:val="32"/>
            </w:rPr>
            <w:t>0</w:t>
          </w:r>
          <w:r w:rsidR="005D3649" w:rsidRPr="00C12586">
            <w:rPr>
              <w:b/>
              <w:sz w:val="32"/>
            </w:rPr>
            <w:t>1.2024</w:t>
          </w:r>
        </w:p>
      </w:tc>
      <w:tc>
        <w:tcPr>
          <w:tcW w:w="1892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14:paraId="706E8C95" w14:textId="5433D6D5" w:rsidR="005D3649" w:rsidRDefault="00AF6669" w:rsidP="005D3649">
          <w:pPr>
            <w:rPr>
              <w:sz w:val="24"/>
            </w:rPr>
          </w:pPr>
          <w:proofErr w:type="spellStart"/>
          <w:r>
            <w:rPr>
              <w:sz w:val="24"/>
            </w:rPr>
            <w:t>Document</w:t>
          </w:r>
          <w:proofErr w:type="spellEnd"/>
          <w:r>
            <w:rPr>
              <w:sz w:val="24"/>
            </w:rPr>
            <w:t xml:space="preserve"> </w:t>
          </w:r>
          <w:r w:rsidR="000613C8">
            <w:rPr>
              <w:sz w:val="24"/>
            </w:rPr>
            <w:t>ID</w:t>
          </w:r>
          <w:r w:rsidR="005D3649">
            <w:rPr>
              <w:sz w:val="24"/>
            </w:rPr>
            <w:t>:</w:t>
          </w:r>
        </w:p>
      </w:tc>
      <w:tc>
        <w:tcPr>
          <w:tcW w:w="1463" w:type="dxa"/>
          <w:gridSpan w:val="2"/>
          <w:tcBorders>
            <w:top w:val="single" w:sz="12" w:space="0" w:color="auto"/>
            <w:left w:val="nil"/>
            <w:bottom w:val="single" w:sz="12" w:space="0" w:color="auto"/>
            <w:right w:val="single" w:sz="18" w:space="0" w:color="auto"/>
          </w:tcBorders>
          <w:vAlign w:val="bottom"/>
        </w:tcPr>
        <w:p w14:paraId="5C1422D8" w14:textId="77777777" w:rsidR="005D3649" w:rsidRDefault="005D3649" w:rsidP="005D3649">
          <w:pPr>
            <w:pStyle w:val="Nadpis1"/>
            <w:rPr>
              <w:caps/>
            </w:rPr>
          </w:pPr>
          <w:r>
            <w:rPr>
              <w:caps/>
            </w:rPr>
            <w:t xml:space="preserve"> </w:t>
          </w:r>
        </w:p>
      </w:tc>
    </w:tr>
    <w:tr w:rsidR="000613C8" w14:paraId="1824951D" w14:textId="77777777" w:rsidTr="00DB3DFC">
      <w:trPr>
        <w:cantSplit/>
        <w:jc w:val="center"/>
      </w:trPr>
      <w:tc>
        <w:tcPr>
          <w:tcW w:w="1089" w:type="dxa"/>
          <w:tcBorders>
            <w:top w:val="single" w:sz="12" w:space="0" w:color="auto"/>
            <w:left w:val="single" w:sz="18" w:space="0" w:color="auto"/>
            <w:bottom w:val="single" w:sz="18" w:space="0" w:color="auto"/>
            <w:right w:val="nil"/>
          </w:tcBorders>
        </w:tcPr>
        <w:p w14:paraId="0A1980E1" w14:textId="77777777" w:rsidR="000613C8" w:rsidRDefault="000613C8" w:rsidP="005D3649">
          <w:pPr>
            <w:rPr>
              <w:sz w:val="24"/>
            </w:rPr>
          </w:pPr>
        </w:p>
      </w:tc>
      <w:tc>
        <w:tcPr>
          <w:tcW w:w="2266" w:type="dxa"/>
          <w:gridSpan w:val="2"/>
          <w:vMerge/>
          <w:tcBorders>
            <w:top w:val="single" w:sz="12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0F71EB11" w14:textId="77777777" w:rsidR="000613C8" w:rsidRPr="00C12586" w:rsidRDefault="000613C8" w:rsidP="005D3649">
          <w:pPr>
            <w:jc w:val="center"/>
            <w:rPr>
              <w:b/>
              <w:sz w:val="32"/>
            </w:rPr>
          </w:pPr>
        </w:p>
      </w:tc>
      <w:tc>
        <w:tcPr>
          <w:tcW w:w="1465" w:type="dxa"/>
          <w:tcBorders>
            <w:top w:val="single" w:sz="12" w:space="0" w:color="auto"/>
            <w:left w:val="nil"/>
            <w:bottom w:val="single" w:sz="18" w:space="0" w:color="auto"/>
            <w:right w:val="nil"/>
          </w:tcBorders>
        </w:tcPr>
        <w:p w14:paraId="2053AEEA" w14:textId="77777777" w:rsidR="000613C8" w:rsidRDefault="000613C8" w:rsidP="005D3649">
          <w:pPr>
            <w:rPr>
              <w:sz w:val="24"/>
            </w:rPr>
          </w:pPr>
        </w:p>
      </w:tc>
      <w:tc>
        <w:tcPr>
          <w:tcW w:w="1890" w:type="dxa"/>
          <w:vMerge/>
          <w:tcBorders>
            <w:top w:val="single" w:sz="12" w:space="0" w:color="auto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456A0247" w14:textId="77777777" w:rsidR="000613C8" w:rsidRPr="00C12586" w:rsidRDefault="000613C8" w:rsidP="005D3649">
          <w:pPr>
            <w:jc w:val="center"/>
            <w:rPr>
              <w:b/>
              <w:sz w:val="32"/>
            </w:rPr>
          </w:pPr>
        </w:p>
      </w:tc>
      <w:tc>
        <w:tcPr>
          <w:tcW w:w="1892" w:type="dxa"/>
          <w:tcBorders>
            <w:top w:val="single" w:sz="12" w:space="0" w:color="auto"/>
            <w:left w:val="nil"/>
            <w:bottom w:val="single" w:sz="18" w:space="0" w:color="auto"/>
            <w:right w:val="nil"/>
          </w:tcBorders>
        </w:tcPr>
        <w:p w14:paraId="0EE62B46" w14:textId="45CBBC79" w:rsidR="000613C8" w:rsidRDefault="00481280" w:rsidP="005D3649">
          <w:pPr>
            <w:rPr>
              <w:sz w:val="24"/>
            </w:rPr>
          </w:pPr>
          <w:r w:rsidRPr="00481280">
            <w:rPr>
              <w:b/>
              <w:sz w:val="32"/>
            </w:rPr>
            <w:t>PN 42 1501</w:t>
          </w:r>
        </w:p>
      </w:tc>
      <w:tc>
        <w:tcPr>
          <w:tcW w:w="1463" w:type="dxa"/>
          <w:gridSpan w:val="2"/>
          <w:tcBorders>
            <w:top w:val="single" w:sz="12" w:space="0" w:color="auto"/>
            <w:left w:val="nil"/>
            <w:bottom w:val="single" w:sz="18" w:space="0" w:color="auto"/>
            <w:right w:val="single" w:sz="18" w:space="0" w:color="auto"/>
          </w:tcBorders>
          <w:vAlign w:val="bottom"/>
        </w:tcPr>
        <w:p w14:paraId="2F16C8DD" w14:textId="77777777" w:rsidR="000613C8" w:rsidRDefault="000613C8" w:rsidP="005D3649">
          <w:pPr>
            <w:pStyle w:val="Nadpis1"/>
            <w:rPr>
              <w:caps/>
            </w:rPr>
          </w:pPr>
        </w:p>
      </w:tc>
    </w:tr>
  </w:tbl>
  <w:p w14:paraId="4FAF70BB" w14:textId="6852A5A1" w:rsidR="005D3649" w:rsidRDefault="003C7CCB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1058"/>
    <w:multiLevelType w:val="hybridMultilevel"/>
    <w:tmpl w:val="71067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26AB4"/>
    <w:multiLevelType w:val="hybridMultilevel"/>
    <w:tmpl w:val="8D6E4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51DDB"/>
    <w:multiLevelType w:val="hybridMultilevel"/>
    <w:tmpl w:val="2BB2D6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27102"/>
    <w:multiLevelType w:val="hybridMultilevel"/>
    <w:tmpl w:val="643A5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4138D"/>
    <w:multiLevelType w:val="multilevel"/>
    <w:tmpl w:val="4CE8F55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97D1FC7"/>
    <w:multiLevelType w:val="hybridMultilevel"/>
    <w:tmpl w:val="3EF492F0"/>
    <w:lvl w:ilvl="0" w:tplc="5EB259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21DBB"/>
    <w:multiLevelType w:val="hybridMultilevel"/>
    <w:tmpl w:val="DCFC3988"/>
    <w:lvl w:ilvl="0" w:tplc="6BBC7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A62C3"/>
    <w:multiLevelType w:val="hybridMultilevel"/>
    <w:tmpl w:val="3C4EF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A6B36"/>
    <w:multiLevelType w:val="hybridMultilevel"/>
    <w:tmpl w:val="40347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955118">
    <w:abstractNumId w:val="0"/>
  </w:num>
  <w:num w:numId="2" w16cid:durableId="1645769213">
    <w:abstractNumId w:val="5"/>
  </w:num>
  <w:num w:numId="3" w16cid:durableId="503011949">
    <w:abstractNumId w:val="6"/>
  </w:num>
  <w:num w:numId="4" w16cid:durableId="1012755">
    <w:abstractNumId w:val="8"/>
  </w:num>
  <w:num w:numId="5" w16cid:durableId="496919340">
    <w:abstractNumId w:val="7"/>
  </w:num>
  <w:num w:numId="6" w16cid:durableId="1109591904">
    <w:abstractNumId w:val="4"/>
  </w:num>
  <w:num w:numId="7" w16cid:durableId="1306742746">
    <w:abstractNumId w:val="3"/>
  </w:num>
  <w:num w:numId="8" w16cid:durableId="1346326830">
    <w:abstractNumId w:val="1"/>
  </w:num>
  <w:num w:numId="9" w16cid:durableId="715547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49"/>
    <w:rsid w:val="00025905"/>
    <w:rsid w:val="00053248"/>
    <w:rsid w:val="000613C8"/>
    <w:rsid w:val="00067651"/>
    <w:rsid w:val="00075F06"/>
    <w:rsid w:val="00082F12"/>
    <w:rsid w:val="0008724C"/>
    <w:rsid w:val="000B6452"/>
    <w:rsid w:val="000B7C09"/>
    <w:rsid w:val="000C0AB8"/>
    <w:rsid w:val="000E44E6"/>
    <w:rsid w:val="000E7493"/>
    <w:rsid w:val="000E7833"/>
    <w:rsid w:val="000F3130"/>
    <w:rsid w:val="000F4563"/>
    <w:rsid w:val="000F69C2"/>
    <w:rsid w:val="00101A0F"/>
    <w:rsid w:val="00103690"/>
    <w:rsid w:val="00104707"/>
    <w:rsid w:val="0012692A"/>
    <w:rsid w:val="00126B96"/>
    <w:rsid w:val="00140E2A"/>
    <w:rsid w:val="001425CE"/>
    <w:rsid w:val="001442C6"/>
    <w:rsid w:val="00167EF7"/>
    <w:rsid w:val="001715C1"/>
    <w:rsid w:val="00171B1A"/>
    <w:rsid w:val="00174D82"/>
    <w:rsid w:val="001B08F3"/>
    <w:rsid w:val="001B73CC"/>
    <w:rsid w:val="001B7862"/>
    <w:rsid w:val="001C77FB"/>
    <w:rsid w:val="001F5AAF"/>
    <w:rsid w:val="002018CA"/>
    <w:rsid w:val="0020487F"/>
    <w:rsid w:val="00213335"/>
    <w:rsid w:val="00221326"/>
    <w:rsid w:val="00226821"/>
    <w:rsid w:val="002377CD"/>
    <w:rsid w:val="00241BDB"/>
    <w:rsid w:val="00261832"/>
    <w:rsid w:val="00262270"/>
    <w:rsid w:val="00264647"/>
    <w:rsid w:val="00270CCD"/>
    <w:rsid w:val="00271706"/>
    <w:rsid w:val="00284598"/>
    <w:rsid w:val="0029295F"/>
    <w:rsid w:val="00292C7F"/>
    <w:rsid w:val="002B4011"/>
    <w:rsid w:val="002E7BB3"/>
    <w:rsid w:val="002F1233"/>
    <w:rsid w:val="00303112"/>
    <w:rsid w:val="0031101F"/>
    <w:rsid w:val="00317349"/>
    <w:rsid w:val="0032534B"/>
    <w:rsid w:val="00353661"/>
    <w:rsid w:val="003806D1"/>
    <w:rsid w:val="003B1923"/>
    <w:rsid w:val="003C7CCB"/>
    <w:rsid w:val="003E4D88"/>
    <w:rsid w:val="003F54EF"/>
    <w:rsid w:val="00421177"/>
    <w:rsid w:val="004269A8"/>
    <w:rsid w:val="00453CF3"/>
    <w:rsid w:val="004566C1"/>
    <w:rsid w:val="00474981"/>
    <w:rsid w:val="00481280"/>
    <w:rsid w:val="00482280"/>
    <w:rsid w:val="00492DE3"/>
    <w:rsid w:val="00493C93"/>
    <w:rsid w:val="004B02C9"/>
    <w:rsid w:val="004D27BB"/>
    <w:rsid w:val="004D3E27"/>
    <w:rsid w:val="004F04EE"/>
    <w:rsid w:val="00500B05"/>
    <w:rsid w:val="0051318B"/>
    <w:rsid w:val="00522B90"/>
    <w:rsid w:val="00527E67"/>
    <w:rsid w:val="0053599C"/>
    <w:rsid w:val="00553E66"/>
    <w:rsid w:val="00567D29"/>
    <w:rsid w:val="005739CA"/>
    <w:rsid w:val="00575374"/>
    <w:rsid w:val="00587E93"/>
    <w:rsid w:val="005943E1"/>
    <w:rsid w:val="005B5667"/>
    <w:rsid w:val="005C3549"/>
    <w:rsid w:val="005C4B9D"/>
    <w:rsid w:val="005C715E"/>
    <w:rsid w:val="005D3649"/>
    <w:rsid w:val="005D4D2B"/>
    <w:rsid w:val="00611AA9"/>
    <w:rsid w:val="00614DC2"/>
    <w:rsid w:val="00616979"/>
    <w:rsid w:val="00626381"/>
    <w:rsid w:val="006344AF"/>
    <w:rsid w:val="00640B0B"/>
    <w:rsid w:val="00641D69"/>
    <w:rsid w:val="006509F6"/>
    <w:rsid w:val="00652D7B"/>
    <w:rsid w:val="00653B22"/>
    <w:rsid w:val="00653FBC"/>
    <w:rsid w:val="006562A9"/>
    <w:rsid w:val="0066604D"/>
    <w:rsid w:val="006731EC"/>
    <w:rsid w:val="0069231E"/>
    <w:rsid w:val="00693CA0"/>
    <w:rsid w:val="00696524"/>
    <w:rsid w:val="006A622D"/>
    <w:rsid w:val="006A70FE"/>
    <w:rsid w:val="006B01FB"/>
    <w:rsid w:val="006E0D31"/>
    <w:rsid w:val="0070296E"/>
    <w:rsid w:val="00705EAE"/>
    <w:rsid w:val="0072552D"/>
    <w:rsid w:val="00731AFF"/>
    <w:rsid w:val="00741D50"/>
    <w:rsid w:val="007726FA"/>
    <w:rsid w:val="00775263"/>
    <w:rsid w:val="0079178A"/>
    <w:rsid w:val="007A2473"/>
    <w:rsid w:val="007B1229"/>
    <w:rsid w:val="007D2C3D"/>
    <w:rsid w:val="007F4663"/>
    <w:rsid w:val="007F5E63"/>
    <w:rsid w:val="00805366"/>
    <w:rsid w:val="00816FA8"/>
    <w:rsid w:val="00821999"/>
    <w:rsid w:val="00822F8B"/>
    <w:rsid w:val="0082507B"/>
    <w:rsid w:val="00825FB8"/>
    <w:rsid w:val="008260EF"/>
    <w:rsid w:val="00875586"/>
    <w:rsid w:val="00886729"/>
    <w:rsid w:val="008951C5"/>
    <w:rsid w:val="008A6049"/>
    <w:rsid w:val="008A77BB"/>
    <w:rsid w:val="008B443F"/>
    <w:rsid w:val="008D04EE"/>
    <w:rsid w:val="008F7DBB"/>
    <w:rsid w:val="008F7EBF"/>
    <w:rsid w:val="00900D65"/>
    <w:rsid w:val="0090594D"/>
    <w:rsid w:val="00921F9F"/>
    <w:rsid w:val="009240DD"/>
    <w:rsid w:val="0092798D"/>
    <w:rsid w:val="009542C9"/>
    <w:rsid w:val="00980DDB"/>
    <w:rsid w:val="0098589C"/>
    <w:rsid w:val="009B06AE"/>
    <w:rsid w:val="009B2234"/>
    <w:rsid w:val="009B3EEB"/>
    <w:rsid w:val="009E30E9"/>
    <w:rsid w:val="00A0133C"/>
    <w:rsid w:val="00A21040"/>
    <w:rsid w:val="00A246FD"/>
    <w:rsid w:val="00A61328"/>
    <w:rsid w:val="00A61440"/>
    <w:rsid w:val="00A7483E"/>
    <w:rsid w:val="00A808D2"/>
    <w:rsid w:val="00A949A3"/>
    <w:rsid w:val="00AA7437"/>
    <w:rsid w:val="00AC2514"/>
    <w:rsid w:val="00AF1C41"/>
    <w:rsid w:val="00AF6669"/>
    <w:rsid w:val="00AF6F2A"/>
    <w:rsid w:val="00AF7CFD"/>
    <w:rsid w:val="00B06DDB"/>
    <w:rsid w:val="00B110D7"/>
    <w:rsid w:val="00B1468B"/>
    <w:rsid w:val="00B161BA"/>
    <w:rsid w:val="00B2644B"/>
    <w:rsid w:val="00B32803"/>
    <w:rsid w:val="00B36F9B"/>
    <w:rsid w:val="00B51732"/>
    <w:rsid w:val="00B53810"/>
    <w:rsid w:val="00B75B5A"/>
    <w:rsid w:val="00B76B8C"/>
    <w:rsid w:val="00B87C32"/>
    <w:rsid w:val="00B9785B"/>
    <w:rsid w:val="00BA6F6C"/>
    <w:rsid w:val="00BB3D5A"/>
    <w:rsid w:val="00C12586"/>
    <w:rsid w:val="00C23965"/>
    <w:rsid w:val="00C40FB3"/>
    <w:rsid w:val="00C56D2C"/>
    <w:rsid w:val="00C66EC2"/>
    <w:rsid w:val="00C76871"/>
    <w:rsid w:val="00C93B37"/>
    <w:rsid w:val="00C966FE"/>
    <w:rsid w:val="00CA6FF6"/>
    <w:rsid w:val="00CC2011"/>
    <w:rsid w:val="00CF19CD"/>
    <w:rsid w:val="00D020FA"/>
    <w:rsid w:val="00D131B5"/>
    <w:rsid w:val="00D50E81"/>
    <w:rsid w:val="00D51C8F"/>
    <w:rsid w:val="00D568E5"/>
    <w:rsid w:val="00D7111D"/>
    <w:rsid w:val="00D71B2F"/>
    <w:rsid w:val="00D93B50"/>
    <w:rsid w:val="00D9596B"/>
    <w:rsid w:val="00DB3DFC"/>
    <w:rsid w:val="00DC4BCB"/>
    <w:rsid w:val="00E0496C"/>
    <w:rsid w:val="00E1258A"/>
    <w:rsid w:val="00E16690"/>
    <w:rsid w:val="00E21AB3"/>
    <w:rsid w:val="00E30062"/>
    <w:rsid w:val="00E3211C"/>
    <w:rsid w:val="00E4606E"/>
    <w:rsid w:val="00E728FC"/>
    <w:rsid w:val="00E7685F"/>
    <w:rsid w:val="00E810B7"/>
    <w:rsid w:val="00E81FF0"/>
    <w:rsid w:val="00E872D5"/>
    <w:rsid w:val="00EB68D0"/>
    <w:rsid w:val="00EE0470"/>
    <w:rsid w:val="00EF5670"/>
    <w:rsid w:val="00F03560"/>
    <w:rsid w:val="00F12791"/>
    <w:rsid w:val="00F15EA9"/>
    <w:rsid w:val="00F27F80"/>
    <w:rsid w:val="00F31D0A"/>
    <w:rsid w:val="00F44649"/>
    <w:rsid w:val="00F46D3E"/>
    <w:rsid w:val="00F46F4D"/>
    <w:rsid w:val="00F84099"/>
    <w:rsid w:val="00F924B8"/>
    <w:rsid w:val="00FA2A81"/>
    <w:rsid w:val="00FB0850"/>
    <w:rsid w:val="00FB10BB"/>
    <w:rsid w:val="00FB39AC"/>
    <w:rsid w:val="00FB5BDE"/>
    <w:rsid w:val="00FB6CF8"/>
    <w:rsid w:val="00FC1C34"/>
    <w:rsid w:val="00FC642B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FCE43"/>
  <w15:chartTrackingRefBased/>
  <w15:docId w15:val="{29DC9CF7-B059-4EEE-96A6-65229AE0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3560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D3649"/>
    <w:pPr>
      <w:keepNext/>
      <w:jc w:val="center"/>
      <w:outlineLvl w:val="0"/>
    </w:pPr>
    <w:rPr>
      <w:sz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03560"/>
    <w:pPr>
      <w:keepNext/>
      <w:keepLines/>
      <w:spacing w:before="240" w:after="12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3560"/>
    <w:pPr>
      <w:keepNext/>
      <w:keepLines/>
      <w:spacing w:before="240" w:after="12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36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3649"/>
  </w:style>
  <w:style w:type="paragraph" w:styleId="Zpat">
    <w:name w:val="footer"/>
    <w:basedOn w:val="Normln"/>
    <w:link w:val="ZpatChar"/>
    <w:uiPriority w:val="99"/>
    <w:unhideWhenUsed/>
    <w:rsid w:val="005D36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3649"/>
  </w:style>
  <w:style w:type="character" w:customStyle="1" w:styleId="Nadpis1Char">
    <w:name w:val="Nadpis 1 Char"/>
    <w:basedOn w:val="Standardnpsmoodstavce"/>
    <w:link w:val="Nadpis1"/>
    <w:rsid w:val="005D3649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zev">
    <w:name w:val="Title"/>
    <w:basedOn w:val="Normln"/>
    <w:link w:val="NzevChar"/>
    <w:qFormat/>
    <w:rsid w:val="005D3649"/>
    <w:pPr>
      <w:jc w:val="center"/>
    </w:pPr>
    <w:rPr>
      <w:b/>
      <w:caps/>
      <w:sz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5D3649"/>
    <w:rPr>
      <w:rFonts w:ascii="Times New Roman" w:eastAsia="Times New Roman" w:hAnsi="Times New Roman" w:cs="Times New Roman"/>
      <w:b/>
      <w:caps/>
      <w:kern w:val="0"/>
      <w:sz w:val="28"/>
      <w:szCs w:val="20"/>
      <w:u w:val="single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D3649"/>
    <w:pPr>
      <w:ind w:left="720"/>
      <w:contextualSpacing/>
    </w:pPr>
  </w:style>
  <w:style w:type="table" w:styleId="Mkatabulky">
    <w:name w:val="Table Grid"/>
    <w:basedOn w:val="Normlntabulka"/>
    <w:rsid w:val="005D3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. odrážky"/>
    <w:basedOn w:val="Normln"/>
    <w:qFormat/>
    <w:rsid w:val="005D3649"/>
    <w:pPr>
      <w:numPr>
        <w:numId w:val="2"/>
      </w:numPr>
      <w:spacing w:before="120" w:after="60"/>
      <w:jc w:val="both"/>
    </w:pPr>
    <w:rPr>
      <w:rFonts w:ascii="Arial" w:hAnsi="Arial"/>
      <w:snapToGrid w:val="0"/>
      <w:szCs w:val="22"/>
      <w:lang w:val="en-GB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3560"/>
    <w:rPr>
      <w:rFonts w:ascii="Times New Roman" w:eastAsiaTheme="majorEastAsia" w:hAnsi="Times New Roman" w:cstheme="majorBidi"/>
      <w:b/>
      <w:color w:val="000000" w:themeColor="text1"/>
      <w:kern w:val="0"/>
      <w:sz w:val="28"/>
      <w:szCs w:val="26"/>
      <w:lang w:eastAsia="zh-CN"/>
      <w14:ligatures w14:val="none"/>
    </w:rPr>
  </w:style>
  <w:style w:type="paragraph" w:customStyle="1" w:styleId="Text">
    <w:name w:val="Text"/>
    <w:basedOn w:val="Normln"/>
    <w:qFormat/>
    <w:rsid w:val="00F03560"/>
    <w:pPr>
      <w:spacing w:before="120" w:after="120"/>
      <w:jc w:val="both"/>
    </w:pPr>
    <w:rPr>
      <w:lang w:val="en-US"/>
    </w:rPr>
  </w:style>
  <w:style w:type="character" w:customStyle="1" w:styleId="Nadpis3Char">
    <w:name w:val="Nadpis 3 Char"/>
    <w:basedOn w:val="Standardnpsmoodstavce"/>
    <w:link w:val="Nadpis3"/>
    <w:uiPriority w:val="9"/>
    <w:rsid w:val="00F03560"/>
    <w:rPr>
      <w:rFonts w:ascii="Times New Roman" w:eastAsiaTheme="majorEastAsia" w:hAnsi="Times New Roman" w:cstheme="majorBidi"/>
      <w:b/>
      <w:kern w:val="0"/>
      <w:sz w:val="24"/>
      <w:szCs w:val="24"/>
      <w:lang w:eastAsia="zh-CN"/>
      <w14:ligatures w14:val="none"/>
    </w:rPr>
  </w:style>
  <w:style w:type="paragraph" w:styleId="Titulek">
    <w:name w:val="caption"/>
    <w:basedOn w:val="Normln"/>
    <w:next w:val="Normln"/>
    <w:uiPriority w:val="35"/>
    <w:unhideWhenUsed/>
    <w:qFormat/>
    <w:rsid w:val="00F03560"/>
    <w:pPr>
      <w:spacing w:before="240" w:after="120"/>
    </w:pPr>
    <w:rPr>
      <w:b/>
      <w:iCs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45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4563"/>
    <w:pPr>
      <w:spacing w:before="120" w:after="60"/>
      <w:jc w:val="both"/>
    </w:pPr>
    <w:rPr>
      <w:rFonts w:ascii="Arial" w:hAnsi="Arial"/>
      <w:snapToGrid w:val="0"/>
      <w:sz w:val="20"/>
      <w:lang w:val="en-GB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4563"/>
    <w:rPr>
      <w:rFonts w:ascii="Arial" w:eastAsia="Times New Roman" w:hAnsi="Arial" w:cs="Times New Roman"/>
      <w:snapToGrid w:val="0"/>
      <w:kern w:val="0"/>
      <w:sz w:val="20"/>
      <w:szCs w:val="20"/>
      <w:lang w:val="en-GB" w:eastAsia="cs-CZ"/>
      <w14:ligatures w14:val="none"/>
    </w:rPr>
  </w:style>
  <w:style w:type="paragraph" w:customStyle="1" w:styleId="Tabelle">
    <w:name w:val="Tabelle"/>
    <w:basedOn w:val="Zkladntext"/>
    <w:qFormat/>
    <w:rsid w:val="000F4563"/>
    <w:pPr>
      <w:suppressAutoHyphens/>
      <w:spacing w:after="0"/>
      <w:jc w:val="both"/>
    </w:pPr>
    <w:rPr>
      <w:rFonts w:ascii="Arial" w:hAnsi="Arial"/>
      <w:sz w:val="20"/>
      <w:lang w:val="de-DE"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F456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F4563"/>
    <w:rPr>
      <w:rFonts w:ascii="Times New Roman" w:eastAsia="Times New Roman" w:hAnsi="Times New Roman" w:cs="Times New Roman"/>
      <w:kern w:val="0"/>
      <w:szCs w:val="20"/>
      <w:lang w:eastAsia="zh-CN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01F"/>
    <w:pPr>
      <w:spacing w:before="0" w:after="0"/>
      <w:jc w:val="left"/>
    </w:pPr>
    <w:rPr>
      <w:rFonts w:ascii="Times New Roman" w:hAnsi="Times New Roman"/>
      <w:b/>
      <w:bCs/>
      <w:snapToGrid/>
      <w:lang w:val="cs-CZ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01F"/>
    <w:rPr>
      <w:rFonts w:ascii="Times New Roman" w:eastAsia="Times New Roman" w:hAnsi="Times New Roman" w:cs="Times New Roman"/>
      <w:b/>
      <w:bCs/>
      <w:snapToGrid/>
      <w:kern w:val="0"/>
      <w:sz w:val="20"/>
      <w:szCs w:val="20"/>
      <w:lang w:val="en-GB" w:eastAsia="zh-CN"/>
      <w14:ligatures w14:val="none"/>
    </w:rPr>
  </w:style>
  <w:style w:type="character" w:customStyle="1" w:styleId="cf01">
    <w:name w:val="cf01"/>
    <w:basedOn w:val="Standardnpsmoodstavce"/>
    <w:rsid w:val="008D04E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0B5216-8291-4AB3-9487-57701AA81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D9DA86-03D4-4015-B84C-972633DED3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E14A4-18C7-4B13-9D78-D2D5C8E54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0B60D5-42CE-4549-8225-741656E44B4E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1744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Lukáš Pavlásek</dc:creator>
  <cp:keywords/>
  <dc:description/>
  <cp:lastModifiedBy>Ondřej Šlosar</cp:lastModifiedBy>
  <cp:revision>37</cp:revision>
  <cp:lastPrinted>2024-04-09T00:36:00Z</cp:lastPrinted>
  <dcterms:created xsi:type="dcterms:W3CDTF">2024-04-09T02:43:00Z</dcterms:created>
  <dcterms:modified xsi:type="dcterms:W3CDTF">2024-05-06T07:14:00Z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