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76F1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</w:t>
            </w:r>
            <w:r w:rsidR="009F30C9">
              <w:rPr>
                <w:rFonts w:ascii="Arial" w:hAnsi="Arial" w:cs="Arial"/>
                <w:color w:val="FF0000"/>
                <w:sz w:val="24"/>
                <w:szCs w:val="24"/>
              </w:rPr>
              <w:t>getační prvky v krajině dle kpú v k. ú. uherský brod, újezdec u luhačovic a maršov</w:t>
            </w:r>
            <w:r w:rsidR="0021401D">
              <w:rPr>
                <w:rFonts w:ascii="Arial" w:hAnsi="Arial" w:cs="Arial"/>
                <w:color w:val="FF0000"/>
                <w:sz w:val="24"/>
                <w:szCs w:val="24"/>
              </w:rPr>
              <w:t xml:space="preserve"> u uherského brodu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01D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6F12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0C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Štěpančíková Taťána, Ing.</cp:lastModifiedBy>
  <cp:revision>6</cp:revision>
  <cp:lastPrinted>2023-01-11T08:03:00Z</cp:lastPrinted>
  <dcterms:created xsi:type="dcterms:W3CDTF">2024-04-11T06:39:00Z</dcterms:created>
  <dcterms:modified xsi:type="dcterms:W3CDTF">2024-04-22T07:17:00Z</dcterms:modified>
</cp:coreProperties>
</file>