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5932D9B4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F29D36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D67CBF">
        <w:rPr>
          <w:b/>
          <w:sz w:val="22"/>
          <w:szCs w:val="22"/>
        </w:rPr>
        <w:t>Opravy automatických převodovek VOITH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35E26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67CBF"/>
    <w:rsid w:val="00D85504"/>
    <w:rsid w:val="00D92578"/>
    <w:rsid w:val="00DB19BE"/>
    <w:rsid w:val="00DD2988"/>
    <w:rsid w:val="00DF1EB9"/>
    <w:rsid w:val="00E016D5"/>
    <w:rsid w:val="00E141F7"/>
    <w:rsid w:val="00E33160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2EC42-635F-4AD8-A87B-0901EEEC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11</cp:revision>
  <cp:lastPrinted>2012-06-13T06:30:00Z</cp:lastPrinted>
  <dcterms:created xsi:type="dcterms:W3CDTF">2022-09-19T09:55:00Z</dcterms:created>
  <dcterms:modified xsi:type="dcterms:W3CDTF">2024-06-05T06:19:00Z</dcterms:modified>
</cp:coreProperties>
</file>