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="00190A02">
        <w:rPr>
          <w:rFonts w:eastAsia="Arial Unicode MS"/>
          <w:i/>
          <w:sz w:val="22"/>
          <w:szCs w:val="22"/>
        </w:rPr>
        <w:t>ařízení Rady (EU) 2023/1214 ze dne 23. června 2023</w:t>
      </w:r>
      <w:r w:rsidR="00F30BA6">
        <w:rPr>
          <w:rFonts w:eastAsia="Arial Unicode MS"/>
          <w:i/>
          <w:sz w:val="22"/>
          <w:szCs w:val="22"/>
        </w:rPr>
        <w:t xml:space="preserve"> </w:t>
      </w:r>
      <w:bookmarkStart w:id="0" w:name="_GoBack"/>
      <w:bookmarkEnd w:id="0"/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423B0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23B0C">
              <w:rPr>
                <w:b/>
                <w:bCs/>
                <w:color w:val="000000"/>
                <w:sz w:val="22"/>
                <w:szCs w:val="22"/>
              </w:rPr>
              <w:t>Opravy automatických převodovek VOITH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23B0C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SVZ-73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CF1289" w:rsidRDefault="00915D56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CF1289" w:rsidRPr="00CF1289" w:rsidRDefault="00CF1289" w:rsidP="00CF128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30BA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30BA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30BA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423B0C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90A02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23B0C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CF1289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30BA6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601EA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CF1289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12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2022-05-16T11:38:00Z</cp:lastPrinted>
  <dcterms:created xsi:type="dcterms:W3CDTF">2021-05-27T05:50:00Z</dcterms:created>
  <dcterms:modified xsi:type="dcterms:W3CDTF">2024-06-05T06:24:00Z</dcterms:modified>
</cp:coreProperties>
</file>