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="00190A02">
        <w:rPr>
          <w:rFonts w:eastAsia="Arial Unicode MS"/>
          <w:i/>
          <w:sz w:val="22"/>
          <w:szCs w:val="22"/>
        </w:rPr>
        <w:t>ařízení Rady (EU) 2023/1214 ze dne 23. června 2023</w:t>
      </w:r>
      <w:r w:rsidR="00F30BA6">
        <w:rPr>
          <w:rFonts w:eastAsia="Arial Unicode MS"/>
          <w:i/>
          <w:sz w:val="22"/>
          <w:szCs w:val="22"/>
        </w:rPr>
        <w:t xml:space="preserve">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4A367B" w:rsidP="00423B0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956BA1">
              <w:rPr>
                <w:b/>
                <w:bCs/>
                <w:color w:val="000000"/>
                <w:sz w:val="22"/>
                <w:szCs w:val="22"/>
              </w:rPr>
              <w:t>Dodávka zemědělské a komunální techniky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956BA1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SVZ-56</w:t>
            </w:r>
            <w:r w:rsidR="00586CE6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CF1289" w:rsidRDefault="00915D56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CF1289" w:rsidRPr="00CF1289" w:rsidRDefault="00CF1289" w:rsidP="00CF128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 xml:space="preserve">ve vztahu k účastníkovi či k němu vztahujícím se osobám nebo k jakémukoliv jeho poddodavateli či k nim vztahujícím se osobám se neuplatňují sankce dle Nařízení Rady (EU) 2023/1214 ze dne 23. června 2023 v </w:t>
      </w:r>
      <w:bookmarkStart w:id="0" w:name="_GoBack"/>
      <w:r w:rsidRPr="00CF1289">
        <w:rPr>
          <w:b/>
          <w:bCs/>
          <w:sz w:val="22"/>
          <w:szCs w:val="22"/>
        </w:rPr>
        <w:t xml:space="preserve">platném </w:t>
      </w:r>
      <w:bookmarkEnd w:id="0"/>
      <w:r w:rsidRPr="00CF1289">
        <w:rPr>
          <w:b/>
          <w:bCs/>
          <w:sz w:val="22"/>
          <w:szCs w:val="22"/>
        </w:rPr>
        <w:t>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56BA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56BA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56BA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23B0C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12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0C" w:rsidRDefault="00423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0A02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23B0C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56BA1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CF1289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30BA6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F8B4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CF1289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12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2022-05-16T11:38:00Z</cp:lastPrinted>
  <dcterms:created xsi:type="dcterms:W3CDTF">2021-05-27T05:50:00Z</dcterms:created>
  <dcterms:modified xsi:type="dcterms:W3CDTF">2024-06-11T08:39:00Z</dcterms:modified>
</cp:coreProperties>
</file>