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6461" w14:textId="4A54EE2B" w:rsidR="004C6BB0" w:rsidRPr="00300C0A" w:rsidRDefault="00831CC5" w:rsidP="004C6BB0">
      <w:pPr>
        <w:spacing w:before="120" w:after="250"/>
        <w:ind w:left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</w:t>
      </w:r>
      <w:r w:rsidR="00196B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 </w:t>
      </w:r>
      <w:r w:rsidR="00B86979" w:rsidRPr="00300C0A">
        <w:rPr>
          <w:b/>
          <w:sz w:val="28"/>
          <w:szCs w:val="28"/>
        </w:rPr>
        <w:t xml:space="preserve">TECHNICKÁ </w:t>
      </w:r>
      <w:r w:rsidR="004C6BB0" w:rsidRPr="00300C0A">
        <w:rPr>
          <w:b/>
          <w:sz w:val="28"/>
          <w:szCs w:val="28"/>
        </w:rPr>
        <w:t xml:space="preserve">SPECIFIKACE </w:t>
      </w:r>
    </w:p>
    <w:p w14:paraId="4CC1DEF1" w14:textId="1AC20CCF" w:rsidR="004C6BB0" w:rsidRPr="0019007E" w:rsidRDefault="004C6BB0" w:rsidP="00F26DC6">
      <w:pPr>
        <w:spacing w:before="240" w:after="240"/>
        <w:jc w:val="both"/>
        <w:rPr>
          <w:b/>
        </w:rPr>
      </w:pPr>
      <w:r w:rsidRPr="0019007E">
        <w:t xml:space="preserve">Český rozhlas </w:t>
      </w:r>
      <w:r w:rsidR="00BF7E55">
        <w:t xml:space="preserve">využívá pro </w:t>
      </w:r>
      <w:r w:rsidRPr="0019007E">
        <w:t>integraci některých interních IT systémů ESB platformu postavenou na</w:t>
      </w:r>
      <w:r w:rsidR="007E4E08">
        <w:t xml:space="preserve"> technologii </w:t>
      </w:r>
      <w:proofErr w:type="spellStart"/>
      <w:r w:rsidRPr="0019007E">
        <w:t>Talend</w:t>
      </w:r>
      <w:proofErr w:type="spellEnd"/>
      <w:r w:rsidRPr="0019007E">
        <w:t>. Tato ESB sběrnice v současné době zajišťuje propojení mezi několika interními systémy (</w:t>
      </w:r>
      <w:r>
        <w:t xml:space="preserve">ELO, </w:t>
      </w:r>
      <w:r w:rsidRPr="0019007E">
        <w:t xml:space="preserve">AIS, SAP, </w:t>
      </w:r>
      <w:proofErr w:type="spellStart"/>
      <w:r w:rsidRPr="0019007E">
        <w:t>Provys</w:t>
      </w:r>
      <w:proofErr w:type="spellEnd"/>
      <w:r w:rsidRPr="0019007E">
        <w:t>, USYS). Propojení jsou realizována přes definované Interface kontrakty buď formou webových služeb (SOAP), DB transformace (SOAP) nebo souborovým přenosem.</w:t>
      </w:r>
    </w:p>
    <w:p w14:paraId="44929E24" w14:textId="21722191" w:rsidR="004C6BB0" w:rsidRPr="0019007E" w:rsidRDefault="004C6BB0" w:rsidP="00F26DC6">
      <w:pPr>
        <w:spacing w:before="240" w:after="240"/>
        <w:jc w:val="both"/>
      </w:pPr>
      <w:r w:rsidRPr="0019007E">
        <w:t xml:space="preserve">Předmětem plnění této rámcové dohody bude zajištění </w:t>
      </w:r>
      <w:r w:rsidR="007E4E08">
        <w:t xml:space="preserve">licencování provozované konfigurace sběrnice </w:t>
      </w:r>
      <w:r w:rsidR="00196BBC">
        <w:t>ESB</w:t>
      </w:r>
      <w:r w:rsidR="007E4E08">
        <w:t xml:space="preserve"> na úrovni Gold Support služeb, zajištění </w:t>
      </w:r>
      <w:r w:rsidRPr="0019007E">
        <w:t>bezchybného provoz</w:t>
      </w:r>
      <w:r w:rsidR="007E4E08">
        <w:t>u</w:t>
      </w:r>
      <w:r w:rsidR="00BF7E55">
        <w:t xml:space="preserve"> sběrnice</w:t>
      </w:r>
      <w:r w:rsidR="007E4E08">
        <w:t xml:space="preserve"> (SLA)</w:t>
      </w:r>
      <w:r>
        <w:t xml:space="preserve">, přechod na </w:t>
      </w:r>
      <w:r w:rsidR="00BF7E55">
        <w:t>vyšší verzi</w:t>
      </w:r>
      <w:r w:rsidR="007313A2" w:rsidRPr="007313A2">
        <w:rPr>
          <w:b/>
        </w:rPr>
        <w:t xml:space="preserve">, </w:t>
      </w:r>
      <w:r w:rsidR="007313A2" w:rsidRPr="007C4CAD">
        <w:t>která je v době přechodu poskytovatelem aktuálně podporovaná, tj. stabilní verze</w:t>
      </w:r>
      <w:r w:rsidRPr="0019007E">
        <w:t xml:space="preserve"> a případný rozvoj nainstalovaného ESB prostředí</w:t>
      </w:r>
      <w:r w:rsidR="00BF7E55">
        <w:t xml:space="preserve">, tzn. přidávání dalších </w:t>
      </w:r>
      <w:proofErr w:type="gramStart"/>
      <w:r w:rsidR="00BF7E55">
        <w:t>služeb</w:t>
      </w:r>
      <w:proofErr w:type="gramEnd"/>
      <w:r w:rsidR="00BF7E55">
        <w:t xml:space="preserve"> resp. integrace dalších systémů</w:t>
      </w:r>
      <w:r w:rsidRPr="0019007E">
        <w:t>.</w:t>
      </w:r>
      <w:r w:rsidR="00BF7E55">
        <w:t xml:space="preserve"> Případné další služby budou opět využívat buď webové služby, databázové transfor</w:t>
      </w:r>
      <w:bookmarkStart w:id="0" w:name="_GoBack"/>
      <w:bookmarkEnd w:id="0"/>
      <w:r w:rsidR="00BF7E55">
        <w:t>mace nebo souborové přenosy a mohou vycházet i z již dnes definovaných interface kontraktů</w:t>
      </w:r>
      <w:r w:rsidR="009C3BCE">
        <w:t>.</w:t>
      </w:r>
    </w:p>
    <w:p w14:paraId="1B81174C" w14:textId="1670909D" w:rsidR="004C6BB0" w:rsidRPr="0019007E" w:rsidRDefault="004C6BB0" w:rsidP="00F26DC6">
      <w:pPr>
        <w:spacing w:before="240" w:after="240"/>
        <w:rPr>
          <w:b/>
          <w:color w:val="000F37"/>
          <w:sz w:val="28"/>
          <w:szCs w:val="28"/>
        </w:rPr>
      </w:pPr>
      <w:r w:rsidRPr="0019007E">
        <w:rPr>
          <w:b/>
          <w:color w:val="000F37"/>
          <w:sz w:val="28"/>
          <w:szCs w:val="28"/>
        </w:rPr>
        <w:t>Popis aktuálně provozovan</w:t>
      </w:r>
      <w:r w:rsidR="00BF7E55">
        <w:rPr>
          <w:b/>
          <w:color w:val="000F37"/>
          <w:sz w:val="28"/>
          <w:szCs w:val="28"/>
        </w:rPr>
        <w:t>é</w:t>
      </w:r>
      <w:r w:rsidRPr="0019007E">
        <w:rPr>
          <w:b/>
          <w:color w:val="000F37"/>
          <w:sz w:val="28"/>
          <w:szCs w:val="28"/>
        </w:rPr>
        <w:t xml:space="preserve"> SW a HW konfigurace systému</w:t>
      </w:r>
    </w:p>
    <w:p w14:paraId="6BFE3CBD" w14:textId="057891A2" w:rsidR="007E4E08" w:rsidRPr="0019007E" w:rsidRDefault="007E4E08" w:rsidP="00F26DC6">
      <w:pPr>
        <w:spacing w:before="240" w:after="240"/>
        <w:jc w:val="both"/>
      </w:pPr>
      <w:r w:rsidRPr="0019007E">
        <w:t xml:space="preserve">Prostředí integrační platformy se skládá ze dvou </w:t>
      </w:r>
      <w:proofErr w:type="spellStart"/>
      <w:r w:rsidRPr="0019007E">
        <w:t>virtualizovaných</w:t>
      </w:r>
      <w:proofErr w:type="spellEnd"/>
      <w:r w:rsidRPr="0019007E">
        <w:t xml:space="preserve"> serverů pro ESB, které jsou v konfiguraci Microsoft </w:t>
      </w:r>
      <w:proofErr w:type="spellStart"/>
      <w:r w:rsidRPr="0019007E">
        <w:t>failover</w:t>
      </w:r>
      <w:proofErr w:type="spellEnd"/>
      <w:r w:rsidRPr="0019007E">
        <w:t xml:space="preserve"> clusteru, tedy zátěž odbavuje jeden ze serverů (</w:t>
      </w:r>
      <w:proofErr w:type="spellStart"/>
      <w:r w:rsidRPr="0019007E">
        <w:t>active</w:t>
      </w:r>
      <w:proofErr w:type="spellEnd"/>
      <w:r w:rsidRPr="0019007E">
        <w:t>). Druhý (</w:t>
      </w:r>
      <w:proofErr w:type="spellStart"/>
      <w:r w:rsidRPr="0019007E">
        <w:t>standby</w:t>
      </w:r>
      <w:proofErr w:type="spellEnd"/>
      <w:r w:rsidRPr="0019007E">
        <w:t xml:space="preserve">) server čeká na případný </w:t>
      </w:r>
      <w:proofErr w:type="spellStart"/>
      <w:r w:rsidRPr="0019007E">
        <w:t>failover</w:t>
      </w:r>
      <w:proofErr w:type="spellEnd"/>
      <w:r w:rsidRPr="0019007E">
        <w:t>. D</w:t>
      </w:r>
      <w:r>
        <w:t>at</w:t>
      </w:r>
      <w:r w:rsidRPr="0019007E">
        <w:t xml:space="preserve">abáze </w:t>
      </w:r>
      <w:r>
        <w:t>navázaná na aplikační cluster je realizována v prostředí MS SQL také v </w:t>
      </w:r>
      <w:proofErr w:type="spellStart"/>
      <w:r>
        <w:t>clusterové</w:t>
      </w:r>
      <w:proofErr w:type="spellEnd"/>
      <w:r>
        <w:t xml:space="preserve"> podobě. Databázová instance ESB je provozována na MS SQL 2016 a je složena ze 3 databází (</w:t>
      </w:r>
      <w:proofErr w:type="spellStart"/>
      <w:r w:rsidRPr="0019007E">
        <w:t>ActiveMQ</w:t>
      </w:r>
      <w:proofErr w:type="spellEnd"/>
      <w:r>
        <w:t xml:space="preserve">, </w:t>
      </w:r>
      <w:proofErr w:type="spellStart"/>
      <w:r w:rsidRPr="005A1A05">
        <w:t>ReportServer$ESB</w:t>
      </w:r>
      <w:proofErr w:type="spellEnd"/>
      <w:r>
        <w:t xml:space="preserve">, </w:t>
      </w:r>
      <w:proofErr w:type="spellStart"/>
      <w:r w:rsidR="00196BBC">
        <w:t>T</w:t>
      </w:r>
      <w:r>
        <w:t>alend</w:t>
      </w:r>
      <w:proofErr w:type="spellEnd"/>
      <w:r w:rsidRPr="0019007E">
        <w:t>).</w:t>
      </w:r>
    </w:p>
    <w:p w14:paraId="136D0D2F" w14:textId="77777777" w:rsidR="007E4E08" w:rsidRPr="0019007E" w:rsidRDefault="007E4E08" w:rsidP="00F26DC6">
      <w:pPr>
        <w:spacing w:before="240" w:after="240"/>
        <w:jc w:val="both"/>
      </w:pPr>
      <w:r w:rsidRPr="0019007E">
        <w:t xml:space="preserve">Platforma je rozdělena na 2 prostředí – Test a Produkce a každé prostředí má vlastní cluster serverů a DB. </w:t>
      </w:r>
    </w:p>
    <w:p w14:paraId="599F748D" w14:textId="7D77ADD8" w:rsidR="007E4E08" w:rsidRDefault="007E4E08" w:rsidP="00F26DC6">
      <w:pPr>
        <w:spacing w:before="240" w:after="240"/>
        <w:jc w:val="both"/>
        <w:rPr>
          <w:rFonts w:cs="Arial"/>
        </w:rPr>
      </w:pPr>
      <w:r w:rsidRPr="0019007E">
        <w:t xml:space="preserve">Serverové prostředí jsou 2 </w:t>
      </w:r>
      <w:proofErr w:type="spellStart"/>
      <w:r w:rsidRPr="0019007E">
        <w:t>jednojádrové</w:t>
      </w:r>
      <w:proofErr w:type="spellEnd"/>
      <w:r w:rsidRPr="0019007E">
        <w:t xml:space="preserve"> procesory s</w:t>
      </w:r>
      <w:r w:rsidR="00D30804">
        <w:t> </w:t>
      </w:r>
      <w:proofErr w:type="gramStart"/>
      <w:r w:rsidRPr="0019007E">
        <w:t>12GB</w:t>
      </w:r>
      <w:proofErr w:type="gramEnd"/>
      <w:r w:rsidRPr="0019007E">
        <w:t xml:space="preserve"> RAM a </w:t>
      </w:r>
      <w:r>
        <w:t xml:space="preserve">3 disky pro OS (60GB), </w:t>
      </w:r>
      <w:proofErr w:type="spellStart"/>
      <w:r>
        <w:t>App</w:t>
      </w:r>
      <w:proofErr w:type="spellEnd"/>
      <w:r>
        <w:t xml:space="preserve"> (10GB) a LOG (20GB), Operační systém je Windows Server 2019 </w:t>
      </w:r>
      <w:proofErr w:type="spellStart"/>
      <w:r>
        <w:t>Datacenter</w:t>
      </w:r>
      <w:proofErr w:type="spellEnd"/>
      <w:r>
        <w:t xml:space="preserve">, SW komponenty </w:t>
      </w:r>
      <w:proofErr w:type="spellStart"/>
      <w:r>
        <w:t>Talend</w:t>
      </w:r>
      <w:proofErr w:type="spellEnd"/>
      <w:r>
        <w:t xml:space="preserve"> runtime a </w:t>
      </w:r>
      <w:proofErr w:type="spellStart"/>
      <w:r>
        <w:t>Active</w:t>
      </w:r>
      <w:proofErr w:type="spellEnd"/>
      <w:r>
        <w:t xml:space="preserve"> M</w:t>
      </w:r>
      <w:r w:rsidRPr="0019007E">
        <w:t>Q</w:t>
      </w:r>
      <w:r>
        <w:t xml:space="preserve"> a využíváme </w:t>
      </w:r>
      <w:r>
        <w:rPr>
          <w:rFonts w:cs="Arial"/>
        </w:rPr>
        <w:t>následující licence produktu: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216"/>
      </w:tblGrid>
      <w:tr w:rsidR="007E4E08" w14:paraId="4CFB313E" w14:textId="77777777" w:rsidTr="00F26DC6">
        <w:trPr>
          <w:trHeight w:val="482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473311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ID</w:t>
            </w:r>
          </w:p>
        </w:tc>
        <w:tc>
          <w:tcPr>
            <w:tcW w:w="4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7EF7F5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ESB </w:t>
            </w:r>
            <w:proofErr w:type="spellStart"/>
            <w:r w:rsidRPr="00D30804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Talend</w:t>
            </w:r>
            <w:proofErr w:type="spellEnd"/>
            <w:r w:rsidRPr="00D30804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Licence</w:t>
            </w:r>
          </w:p>
        </w:tc>
      </w:tr>
      <w:tr w:rsidR="007E4E08" w14:paraId="3A8B3ED6" w14:textId="77777777" w:rsidTr="00F26DC6">
        <w:trPr>
          <w:trHeight w:val="482"/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D0D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BA49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1x: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Talend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ESB -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Concurrent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users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includes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Gold Support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Services</w:t>
            </w:r>
            <w:proofErr w:type="spellEnd"/>
          </w:p>
        </w:tc>
      </w:tr>
      <w:tr w:rsidR="007E4E08" w14:paraId="376E7982" w14:textId="77777777" w:rsidTr="00F26DC6">
        <w:trPr>
          <w:trHeight w:val="482"/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A0D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430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1x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Talend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ESB - Non-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Production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Runtime - Per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Limitation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(4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cores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</w:tr>
      <w:tr w:rsidR="007E4E08" w14:paraId="7C56105F" w14:textId="77777777" w:rsidTr="00F26DC6">
        <w:trPr>
          <w:trHeight w:val="482"/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26D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D0B" w14:textId="77777777" w:rsidR="007E4E08" w:rsidRPr="00D30804" w:rsidRDefault="007E4E08" w:rsidP="003A61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1x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Talend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ESB -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Production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Runtime - Per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Core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Limitation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(4 </w:t>
            </w:r>
            <w:proofErr w:type="spellStart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cores</w:t>
            </w:r>
            <w:proofErr w:type="spellEnd"/>
            <w:r w:rsidRPr="00D30804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</w:tr>
    </w:tbl>
    <w:p w14:paraId="2F795933" w14:textId="78BADA25" w:rsidR="00E64BB6" w:rsidRDefault="00E64BB6" w:rsidP="005447ED">
      <w:pPr>
        <w:spacing w:before="240" w:after="120" w:line="240" w:lineRule="exact"/>
      </w:pPr>
      <w:r>
        <w:t xml:space="preserve">Aktuálně provozovaná verze produktu: </w:t>
      </w:r>
      <w:r w:rsidRPr="00E64BB6">
        <w:t>Talend-ESB-V8.0.1</w:t>
      </w:r>
    </w:p>
    <w:p w14:paraId="7ED43EB5" w14:textId="77777777" w:rsidR="004C6BB0" w:rsidRPr="0019007E" w:rsidRDefault="004C6BB0" w:rsidP="00F26DC6">
      <w:pPr>
        <w:numPr>
          <w:ilvl w:val="0"/>
          <w:numId w:val="23"/>
        </w:numPr>
        <w:spacing w:before="240" w:after="240"/>
        <w:ind w:hanging="720"/>
        <w:rPr>
          <w:b/>
          <w:color w:val="000F37"/>
          <w:sz w:val="28"/>
          <w:szCs w:val="28"/>
        </w:rPr>
      </w:pPr>
      <w:r w:rsidRPr="0019007E">
        <w:rPr>
          <w:b/>
          <w:color w:val="000F37"/>
          <w:sz w:val="28"/>
          <w:szCs w:val="28"/>
        </w:rPr>
        <w:t>PARAMETRY SERVISNÍ PODPORY</w:t>
      </w:r>
    </w:p>
    <w:p w14:paraId="755C3EAA" w14:textId="77777777" w:rsidR="004C6BB0" w:rsidRPr="0019007E" w:rsidRDefault="004C6BB0" w:rsidP="00F26DC6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1" w:name="_Toc433897088"/>
      <w:bookmarkStart w:id="2" w:name="_Toc433897377"/>
      <w:bookmarkStart w:id="3" w:name="_Toc433897669"/>
      <w:bookmarkStart w:id="4" w:name="_Toc433897961"/>
      <w:bookmarkStart w:id="5" w:name="_Toc433899033"/>
      <w:bookmarkStart w:id="6" w:name="_Toc441758008"/>
      <w:bookmarkEnd w:id="1"/>
      <w:bookmarkEnd w:id="2"/>
      <w:bookmarkEnd w:id="3"/>
      <w:bookmarkEnd w:id="4"/>
      <w:bookmarkEnd w:id="5"/>
      <w:r w:rsidRPr="0019007E">
        <w:rPr>
          <w:rFonts w:cs="Arial"/>
          <w:b/>
          <w:sz w:val="24"/>
          <w:szCs w:val="24"/>
        </w:rPr>
        <w:t xml:space="preserve">Seznam míst poskytování </w:t>
      </w:r>
      <w:r>
        <w:rPr>
          <w:rFonts w:cs="Arial"/>
          <w:b/>
          <w:sz w:val="24"/>
          <w:szCs w:val="24"/>
        </w:rPr>
        <w:t>s</w:t>
      </w:r>
      <w:r w:rsidRPr="0019007E">
        <w:rPr>
          <w:rFonts w:cs="Arial"/>
          <w:b/>
          <w:sz w:val="24"/>
          <w:szCs w:val="24"/>
        </w:rPr>
        <w:t>ervisní</w:t>
      </w:r>
      <w:r>
        <w:rPr>
          <w:rFonts w:cs="Arial"/>
          <w:b/>
          <w:sz w:val="24"/>
          <w:szCs w:val="24"/>
        </w:rPr>
        <w:t xml:space="preserve"> podpory</w:t>
      </w:r>
      <w:r w:rsidRPr="0019007E">
        <w:rPr>
          <w:rFonts w:cs="Arial"/>
          <w:b/>
          <w:sz w:val="24"/>
          <w:szCs w:val="24"/>
        </w:rPr>
        <w:t>:</w:t>
      </w:r>
      <w:bookmarkEnd w:id="6"/>
    </w:p>
    <w:p w14:paraId="6EDCE343" w14:textId="77777777" w:rsidR="004C6BB0" w:rsidRPr="0055329D" w:rsidRDefault="004C6BB0" w:rsidP="00D30804">
      <w:pPr>
        <w:numPr>
          <w:ilvl w:val="3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 w:line="240" w:lineRule="exact"/>
        <w:rPr>
          <w:rFonts w:cs="Arial"/>
        </w:rPr>
      </w:pPr>
      <w:r w:rsidRPr="0055329D">
        <w:rPr>
          <w:rFonts w:cs="Arial"/>
        </w:rPr>
        <w:t>Český rozhlas, Vinohradská 12, 120 99 Praha 2</w:t>
      </w:r>
    </w:p>
    <w:p w14:paraId="2B076393" w14:textId="3A95BEEB" w:rsidR="004C6BB0" w:rsidRPr="0055329D" w:rsidRDefault="004C6BB0" w:rsidP="005447ED">
      <w:pPr>
        <w:numPr>
          <w:ilvl w:val="3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40" w:line="240" w:lineRule="exact"/>
        <w:rPr>
          <w:rFonts w:cs="Arial"/>
          <w:b/>
        </w:rPr>
      </w:pPr>
      <w:r w:rsidRPr="0055329D">
        <w:rPr>
          <w:rFonts w:cs="Arial"/>
          <w:b/>
        </w:rPr>
        <w:t>[</w:t>
      </w:r>
      <w:r w:rsidRPr="0055329D">
        <w:rPr>
          <w:rFonts w:cs="Arial"/>
          <w:b/>
          <w:highlight w:val="yellow"/>
        </w:rPr>
        <w:t>DOPLNIT – sídlo poskytovatele</w:t>
      </w:r>
      <w:r w:rsidRPr="0055329D">
        <w:rPr>
          <w:rFonts w:cs="Arial"/>
          <w:b/>
        </w:rPr>
        <w:t>]</w:t>
      </w:r>
    </w:p>
    <w:p w14:paraId="5583B6F9" w14:textId="77777777" w:rsidR="004C6BB0" w:rsidRPr="000029CE" w:rsidRDefault="004C6BB0" w:rsidP="00F26DC6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7" w:name="_Toc441758009"/>
      <w:r w:rsidRPr="000029CE">
        <w:rPr>
          <w:rFonts w:cs="Arial"/>
          <w:b/>
          <w:sz w:val="24"/>
          <w:szCs w:val="24"/>
        </w:rPr>
        <w:t xml:space="preserve">Poskytování </w:t>
      </w:r>
      <w:r>
        <w:rPr>
          <w:rFonts w:cs="Arial"/>
          <w:b/>
          <w:sz w:val="24"/>
          <w:szCs w:val="24"/>
        </w:rPr>
        <w:t>s</w:t>
      </w:r>
      <w:r w:rsidRPr="000029CE">
        <w:rPr>
          <w:rFonts w:cs="Arial"/>
          <w:b/>
          <w:sz w:val="24"/>
          <w:szCs w:val="24"/>
        </w:rPr>
        <w:t>ervisní</w:t>
      </w:r>
      <w:r>
        <w:rPr>
          <w:rFonts w:cs="Arial"/>
          <w:b/>
          <w:sz w:val="24"/>
          <w:szCs w:val="24"/>
        </w:rPr>
        <w:t xml:space="preserve"> podpory</w:t>
      </w:r>
      <w:r w:rsidRPr="000029CE">
        <w:rPr>
          <w:rFonts w:cs="Arial"/>
          <w:b/>
          <w:sz w:val="24"/>
          <w:szCs w:val="24"/>
        </w:rPr>
        <w:t xml:space="preserve"> vzdáleným přístupem:</w:t>
      </w:r>
      <w:bookmarkEnd w:id="7"/>
    </w:p>
    <w:p w14:paraId="2B92A212" w14:textId="4717D7B3" w:rsidR="00D30804" w:rsidRPr="0055329D" w:rsidRDefault="004C6BB0" w:rsidP="005447ED">
      <w:pPr>
        <w:spacing w:after="240"/>
        <w:jc w:val="both"/>
        <w:rPr>
          <w:rFonts w:cs="Arial"/>
        </w:rPr>
      </w:pPr>
      <w:r w:rsidRPr="0055329D">
        <w:rPr>
          <w:rFonts w:cs="Arial"/>
        </w:rPr>
        <w:t>Ano, do testovacího prostředí u objednatele. Do ostatních prostředí vždy po domluvě objednatele s poskytovatelem.</w:t>
      </w:r>
    </w:p>
    <w:p w14:paraId="1B21741A" w14:textId="77777777" w:rsidR="004C6BB0" w:rsidRPr="000029CE" w:rsidRDefault="004C6BB0" w:rsidP="00F26DC6">
      <w:pPr>
        <w:keepNext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8" w:name="_Toc441758010"/>
      <w:r w:rsidRPr="000029CE">
        <w:rPr>
          <w:rFonts w:cs="Arial"/>
          <w:b/>
          <w:sz w:val="24"/>
          <w:szCs w:val="24"/>
        </w:rPr>
        <w:lastRenderedPageBreak/>
        <w:t xml:space="preserve">Dostupnost </w:t>
      </w:r>
      <w:r>
        <w:rPr>
          <w:rFonts w:cs="Arial"/>
          <w:b/>
          <w:sz w:val="24"/>
          <w:szCs w:val="24"/>
        </w:rPr>
        <w:t>servisní</w:t>
      </w:r>
      <w:r w:rsidRPr="000029CE">
        <w:rPr>
          <w:rFonts w:cs="Arial"/>
          <w:b/>
          <w:sz w:val="24"/>
          <w:szCs w:val="24"/>
        </w:rPr>
        <w:t xml:space="preserve"> podpory: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4047"/>
        <w:gridCol w:w="3049"/>
      </w:tblGrid>
      <w:tr w:rsidR="004C6BB0" w14:paraId="0200A406" w14:textId="77777777" w:rsidTr="00F26DC6">
        <w:trPr>
          <w:trHeight w:val="480"/>
        </w:trPr>
        <w:tc>
          <w:tcPr>
            <w:tcW w:w="10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CAC8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  <w:bCs/>
              </w:rPr>
            </w:pPr>
            <w:r w:rsidRPr="0055329D">
              <w:rPr>
                <w:rFonts w:cs="Arial"/>
                <w:b/>
                <w:bCs/>
              </w:rPr>
              <w:t>Služba</w:t>
            </w:r>
          </w:p>
        </w:tc>
        <w:tc>
          <w:tcPr>
            <w:tcW w:w="3924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437A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  <w:bCs/>
              </w:rPr>
            </w:pPr>
            <w:r w:rsidRPr="0055329D">
              <w:rPr>
                <w:rFonts w:cs="Arial"/>
                <w:b/>
                <w:bCs/>
              </w:rPr>
              <w:t>Dostupnost</w:t>
            </w:r>
          </w:p>
        </w:tc>
      </w:tr>
      <w:tr w:rsidR="004C6BB0" w14:paraId="5B39979B" w14:textId="77777777" w:rsidTr="00F26DC6">
        <w:trPr>
          <w:trHeight w:val="227"/>
        </w:trPr>
        <w:tc>
          <w:tcPr>
            <w:tcW w:w="1076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21AA" w14:textId="1E2B7969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Servis</w:t>
            </w:r>
            <w:r w:rsidR="00831CC5">
              <w:rPr>
                <w:rFonts w:cs="Arial"/>
              </w:rPr>
              <w:t>n</w:t>
            </w:r>
            <w:r>
              <w:rPr>
                <w:rFonts w:cs="Arial"/>
              </w:rPr>
              <w:t xml:space="preserve">í </w:t>
            </w:r>
            <w:r w:rsidRPr="0055329D">
              <w:rPr>
                <w:rFonts w:cs="Arial"/>
              </w:rPr>
              <w:t xml:space="preserve">podpora 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6C65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Režim služby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565A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5x9</w:t>
            </w:r>
          </w:p>
        </w:tc>
      </w:tr>
      <w:tr w:rsidR="004C6BB0" w14:paraId="027C2FAE" w14:textId="77777777" w:rsidTr="00F26DC6">
        <w:trPr>
          <w:trHeight w:val="227"/>
        </w:trPr>
        <w:tc>
          <w:tcPr>
            <w:tcW w:w="1076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79F823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22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46F6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Zpracování incidentů / požadavků od - do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0296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8:00 – 17:00 v pracovní dny</w:t>
            </w:r>
          </w:p>
        </w:tc>
      </w:tr>
    </w:tbl>
    <w:p w14:paraId="6AA19FF5" w14:textId="62A603A2" w:rsidR="004C6BB0" w:rsidRPr="000029CE" w:rsidRDefault="004C6BB0" w:rsidP="00F26DC6">
      <w:pPr>
        <w:keepNext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jc w:val="both"/>
        <w:outlineLvl w:val="0"/>
        <w:rPr>
          <w:rFonts w:cs="Arial"/>
          <w:b/>
          <w:sz w:val="24"/>
          <w:szCs w:val="24"/>
        </w:rPr>
      </w:pPr>
      <w:bookmarkStart w:id="9" w:name="_Toc441758011"/>
      <w:r w:rsidRPr="000029CE">
        <w:rPr>
          <w:rFonts w:cs="Arial"/>
          <w:b/>
          <w:sz w:val="24"/>
          <w:szCs w:val="24"/>
        </w:rPr>
        <w:t xml:space="preserve">Reakční doba a </w:t>
      </w:r>
      <w:r>
        <w:rPr>
          <w:rFonts w:cs="Arial"/>
          <w:b/>
          <w:sz w:val="24"/>
          <w:szCs w:val="24"/>
        </w:rPr>
        <w:t>p</w:t>
      </w:r>
      <w:r w:rsidRPr="000029CE">
        <w:rPr>
          <w:rFonts w:cs="Arial"/>
          <w:b/>
          <w:sz w:val="24"/>
          <w:szCs w:val="24"/>
        </w:rPr>
        <w:t xml:space="preserve">ředpokládaný čas zahájení řešení v závislosti na </w:t>
      </w:r>
      <w:r>
        <w:rPr>
          <w:rFonts w:cs="Arial"/>
          <w:b/>
          <w:sz w:val="24"/>
          <w:szCs w:val="24"/>
        </w:rPr>
        <w:t>k</w:t>
      </w:r>
      <w:r w:rsidRPr="000029CE">
        <w:rPr>
          <w:rFonts w:cs="Arial"/>
          <w:b/>
          <w:sz w:val="24"/>
          <w:szCs w:val="24"/>
        </w:rPr>
        <w:t>ategorii incidentu</w:t>
      </w:r>
      <w:r w:rsidR="00E64BB6">
        <w:rPr>
          <w:rFonts w:cs="Arial"/>
          <w:b/>
          <w:sz w:val="24"/>
          <w:szCs w:val="24"/>
        </w:rPr>
        <w:t xml:space="preserve"> (tabulka parametrů SLA)</w:t>
      </w:r>
      <w:r w:rsidRPr="000029CE">
        <w:rPr>
          <w:rFonts w:cs="Arial"/>
          <w:b/>
          <w:sz w:val="24"/>
          <w:szCs w:val="24"/>
        </w:rPr>
        <w:t>: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3"/>
        <w:gridCol w:w="2793"/>
        <w:gridCol w:w="2373"/>
        <w:gridCol w:w="2233"/>
      </w:tblGrid>
      <w:tr w:rsidR="004C6BB0" w14:paraId="11CC49D0" w14:textId="77777777" w:rsidTr="00F26DC6">
        <w:trPr>
          <w:trHeight w:val="480"/>
        </w:trPr>
        <w:tc>
          <w:tcPr>
            <w:tcW w:w="908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6C91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  <w:bCs/>
              </w:rPr>
            </w:pPr>
            <w:r w:rsidRPr="0055329D">
              <w:rPr>
                <w:rFonts w:cs="Arial"/>
                <w:b/>
              </w:rPr>
              <w:t>Kategorie incidentu</w:t>
            </w:r>
          </w:p>
        </w:tc>
        <w:tc>
          <w:tcPr>
            <w:tcW w:w="1544" w:type="pct"/>
            <w:shd w:val="clear" w:color="auto" w:fill="E6E6E6"/>
            <w:vAlign w:val="center"/>
          </w:tcPr>
          <w:p w14:paraId="078BEC78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55329D">
              <w:rPr>
                <w:rFonts w:cs="Arial"/>
                <w:b/>
              </w:rPr>
              <w:t>Popis</w:t>
            </w:r>
          </w:p>
        </w:tc>
        <w:tc>
          <w:tcPr>
            <w:tcW w:w="1312" w:type="pct"/>
            <w:shd w:val="clear" w:color="auto" w:fill="E6E6E6"/>
          </w:tcPr>
          <w:p w14:paraId="1DFB5964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55329D">
              <w:rPr>
                <w:rFonts w:cs="Arial"/>
                <w:b/>
              </w:rPr>
              <w:t>Reakční doba</w:t>
            </w:r>
          </w:p>
        </w:tc>
        <w:tc>
          <w:tcPr>
            <w:tcW w:w="1235" w:type="pct"/>
            <w:shd w:val="clear" w:color="auto" w:fill="E6E6E6"/>
            <w:vAlign w:val="center"/>
          </w:tcPr>
          <w:p w14:paraId="4EA101BB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55329D">
              <w:rPr>
                <w:rFonts w:cs="Arial"/>
                <w:b/>
              </w:rPr>
              <w:t>Zahájení řešení nejpozději</w:t>
            </w:r>
          </w:p>
        </w:tc>
      </w:tr>
      <w:tr w:rsidR="004C6BB0" w14:paraId="5D1E7275" w14:textId="77777777" w:rsidTr="00F26DC6">
        <w:trPr>
          <w:trHeight w:val="227"/>
        </w:trPr>
        <w:tc>
          <w:tcPr>
            <w:tcW w:w="9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7319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A – Havárie</w:t>
            </w:r>
          </w:p>
        </w:tc>
        <w:tc>
          <w:tcPr>
            <w:tcW w:w="1544" w:type="pct"/>
            <w:vAlign w:val="center"/>
          </w:tcPr>
          <w:p w14:paraId="41A46B4F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Jednotlivá aplikační řešení nejsou použitelná ve svých základních funkcích. Tento stav může ohrozit podnikatelskou či obchodní činnost objednatele.</w:t>
            </w:r>
          </w:p>
        </w:tc>
        <w:tc>
          <w:tcPr>
            <w:tcW w:w="1312" w:type="pct"/>
          </w:tcPr>
          <w:p w14:paraId="5BB59EBF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  <w:p w14:paraId="6197F88D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 xml:space="preserve">Potvrzení přijetí požadavku včetně stanovení předpokládané doby vyřešení incidentu do 2 hodin od nahlášení problému </w:t>
            </w:r>
          </w:p>
        </w:tc>
        <w:tc>
          <w:tcPr>
            <w:tcW w:w="1235" w:type="pct"/>
            <w:vAlign w:val="center"/>
          </w:tcPr>
          <w:p w14:paraId="1E271A08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Do 4 hodin po nahlášení incidentu. Prioritou je návrh řešení nebo náhradní řešení do odstranění problému, které bude objednatelem odsouhlaseno a poskytovatelem dodáno nejpozději do 72 hodin</w:t>
            </w:r>
            <w:r>
              <w:rPr>
                <w:rFonts w:cs="Arial"/>
              </w:rPr>
              <w:t xml:space="preserve"> od nahlášení incidentu.</w:t>
            </w:r>
          </w:p>
        </w:tc>
      </w:tr>
      <w:tr w:rsidR="004C6BB0" w14:paraId="29411D11" w14:textId="77777777" w:rsidTr="00F26DC6">
        <w:trPr>
          <w:trHeight w:val="227"/>
        </w:trPr>
        <w:tc>
          <w:tcPr>
            <w:tcW w:w="908" w:type="pct"/>
            <w:vAlign w:val="center"/>
          </w:tcPr>
          <w:p w14:paraId="7419CC44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B - Významná závada</w:t>
            </w:r>
          </w:p>
        </w:tc>
        <w:tc>
          <w:tcPr>
            <w:tcW w:w="1544" w:type="pct"/>
            <w:vAlign w:val="center"/>
          </w:tcPr>
          <w:p w14:paraId="1CBE3DC6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Některé funkce aplikačních řešení pracují omezeně, toto omezení však nelze považovat za takové, které může ohrozit podnikatelskou či obchodní činnost objednatele.</w:t>
            </w:r>
          </w:p>
        </w:tc>
        <w:tc>
          <w:tcPr>
            <w:tcW w:w="1312" w:type="pct"/>
          </w:tcPr>
          <w:p w14:paraId="49548C27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 xml:space="preserve">Potvrzení přijetí požadavku včetně stanovení předpokládané doby vyřešení incidentu do 6 hodin od nahlášení požadavku </w:t>
            </w:r>
          </w:p>
        </w:tc>
        <w:tc>
          <w:tcPr>
            <w:tcW w:w="1235" w:type="pct"/>
            <w:vAlign w:val="center"/>
          </w:tcPr>
          <w:p w14:paraId="4B9188FD" w14:textId="5EFE353B" w:rsidR="004C6BB0" w:rsidRPr="0055329D" w:rsidRDefault="004C6BB0" w:rsidP="007E4E0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 xml:space="preserve">Do </w:t>
            </w:r>
            <w:r w:rsidR="007E4E08">
              <w:rPr>
                <w:rFonts w:cs="Arial"/>
              </w:rPr>
              <w:t xml:space="preserve">17:00 hod. </w:t>
            </w:r>
            <w:r w:rsidRPr="0055329D">
              <w:rPr>
                <w:rFonts w:cs="Arial"/>
              </w:rPr>
              <w:t>následujícího pracovního dne (NBD) od nahlášení incidentu</w:t>
            </w:r>
          </w:p>
        </w:tc>
      </w:tr>
      <w:tr w:rsidR="004C6BB0" w14:paraId="79073C17" w14:textId="77777777" w:rsidTr="00F26DC6">
        <w:trPr>
          <w:trHeight w:val="227"/>
        </w:trPr>
        <w:tc>
          <w:tcPr>
            <w:tcW w:w="908" w:type="pct"/>
            <w:vAlign w:val="center"/>
          </w:tcPr>
          <w:p w14:paraId="4204CFC5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C - Méně významná závada</w:t>
            </w:r>
          </w:p>
        </w:tc>
        <w:tc>
          <w:tcPr>
            <w:tcW w:w="1544" w:type="pct"/>
            <w:vAlign w:val="center"/>
          </w:tcPr>
          <w:p w14:paraId="4DA3940E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Není nebezpečí přímého ohrožení podnikatelské činnosti objednatele. Aplikační řešení jsou dostupná, ale některé funkce jsou omezeny.</w:t>
            </w:r>
          </w:p>
        </w:tc>
        <w:tc>
          <w:tcPr>
            <w:tcW w:w="1312" w:type="pct"/>
          </w:tcPr>
          <w:p w14:paraId="1773AE9C" w14:textId="2C22D1B6" w:rsidR="004C6BB0" w:rsidRPr="0055329D" w:rsidRDefault="004C6BB0" w:rsidP="0094633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 xml:space="preserve">Potvrzení přijetí požadavku do </w:t>
            </w:r>
            <w:r w:rsidR="00946336">
              <w:rPr>
                <w:rFonts w:cs="Arial"/>
              </w:rPr>
              <w:t>17:00 hod.</w:t>
            </w:r>
            <w:r w:rsidRPr="0055329D">
              <w:rPr>
                <w:rFonts w:cs="Arial"/>
              </w:rPr>
              <w:t xml:space="preserve"> následujícího pracovního dne</w:t>
            </w:r>
          </w:p>
        </w:tc>
        <w:tc>
          <w:tcPr>
            <w:tcW w:w="1235" w:type="pct"/>
            <w:vAlign w:val="center"/>
          </w:tcPr>
          <w:p w14:paraId="4BFE6220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2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Do tří pracovních dnů po nahlášení incidentu včetně stanovení předpokládané doby vyřešení incidentu, nedohodnou-li se strany jinak</w:t>
            </w:r>
          </w:p>
        </w:tc>
      </w:tr>
      <w:tr w:rsidR="004C6BB0" w14:paraId="5EE1B316" w14:textId="77777777" w:rsidTr="00F26DC6">
        <w:trPr>
          <w:trHeight w:val="227"/>
        </w:trPr>
        <w:tc>
          <w:tcPr>
            <w:tcW w:w="908" w:type="pct"/>
            <w:vAlign w:val="center"/>
          </w:tcPr>
          <w:p w14:paraId="25992FB9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D - Konzultace</w:t>
            </w:r>
          </w:p>
        </w:tc>
        <w:tc>
          <w:tcPr>
            <w:tcW w:w="1544" w:type="pct"/>
            <w:vAlign w:val="center"/>
          </w:tcPr>
          <w:p w14:paraId="00C89F4F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>Požadavky na osobní a/nebo telefonické konzultace formou hot-line.</w:t>
            </w:r>
          </w:p>
        </w:tc>
        <w:tc>
          <w:tcPr>
            <w:tcW w:w="1312" w:type="pct"/>
          </w:tcPr>
          <w:p w14:paraId="2B9437AC" w14:textId="4ED40610" w:rsidR="004C6BB0" w:rsidRPr="0055329D" w:rsidRDefault="004C6BB0" w:rsidP="0094633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55329D">
              <w:rPr>
                <w:rFonts w:cs="Arial"/>
              </w:rPr>
              <w:t xml:space="preserve">Potvrzení přijetí požadavku včetně dohodnutí vhodné formy a termínu řešení do </w:t>
            </w:r>
            <w:r w:rsidR="00946336">
              <w:rPr>
                <w:rFonts w:cs="Arial"/>
              </w:rPr>
              <w:t xml:space="preserve">17:00 hod. </w:t>
            </w:r>
            <w:r w:rsidRPr="0055329D">
              <w:rPr>
                <w:rFonts w:cs="Arial"/>
              </w:rPr>
              <w:t xml:space="preserve">následujícího pracovního dne </w:t>
            </w:r>
          </w:p>
        </w:tc>
        <w:tc>
          <w:tcPr>
            <w:tcW w:w="1235" w:type="pct"/>
            <w:vAlign w:val="center"/>
          </w:tcPr>
          <w:p w14:paraId="70288E22" w14:textId="77777777" w:rsidR="004C6BB0" w:rsidRPr="0055329D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jc w:val="center"/>
              <w:rPr>
                <w:rFonts w:cs="Arial"/>
              </w:rPr>
            </w:pPr>
            <w:r w:rsidRPr="0055329D">
              <w:rPr>
                <w:rFonts w:cs="Arial"/>
              </w:rPr>
              <w:t>-</w:t>
            </w:r>
          </w:p>
        </w:tc>
      </w:tr>
    </w:tbl>
    <w:p w14:paraId="047CE6B1" w14:textId="77777777" w:rsidR="004C6BB0" w:rsidRPr="000029CE" w:rsidRDefault="004C6BB0" w:rsidP="00F26DC6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10" w:name="_Toc441758012"/>
      <w:r w:rsidRPr="000029CE">
        <w:rPr>
          <w:rFonts w:cs="Arial"/>
          <w:b/>
          <w:sz w:val="24"/>
          <w:szCs w:val="24"/>
        </w:rPr>
        <w:t xml:space="preserve">Věcný rozsah </w:t>
      </w:r>
      <w:r>
        <w:rPr>
          <w:rFonts w:cs="Arial"/>
          <w:b/>
          <w:sz w:val="24"/>
          <w:szCs w:val="24"/>
        </w:rPr>
        <w:t xml:space="preserve">servisní </w:t>
      </w:r>
      <w:r w:rsidRPr="000029CE">
        <w:rPr>
          <w:rFonts w:cs="Arial"/>
          <w:b/>
          <w:sz w:val="24"/>
          <w:szCs w:val="24"/>
        </w:rPr>
        <w:t>podpory</w:t>
      </w:r>
      <w:bookmarkEnd w:id="10"/>
    </w:p>
    <w:p w14:paraId="46AABD96" w14:textId="77777777" w:rsidR="004C6BB0" w:rsidRPr="0055329D" w:rsidRDefault="004C6BB0" w:rsidP="004C6BB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jc w:val="both"/>
        <w:rPr>
          <w:rFonts w:cs="Arial"/>
        </w:rPr>
      </w:pPr>
      <w:r w:rsidRPr="0055329D">
        <w:rPr>
          <w:rFonts w:cs="Arial"/>
        </w:rPr>
        <w:t>V rámci servisní podpory jsou prováděny tyto činnosti:</w:t>
      </w:r>
    </w:p>
    <w:p w14:paraId="1F38008E" w14:textId="11F4280A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lastRenderedPageBreak/>
        <w:t>Pravidelně průběžně prováděné činnosti</w:t>
      </w:r>
    </w:p>
    <w:p w14:paraId="427A11FD" w14:textId="36F97093" w:rsidR="004C6BB0" w:rsidRDefault="00831CC5" w:rsidP="004C6BB0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z</w:t>
      </w:r>
      <w:r w:rsidR="004C6BB0">
        <w:rPr>
          <w:rFonts w:eastAsia="Times New Roman" w:cs="Arial"/>
          <w:szCs w:val="20"/>
        </w:rPr>
        <w:t>ajištění a garance výše uvedených parametrů SLA</w:t>
      </w:r>
    </w:p>
    <w:p w14:paraId="6010FEE9" w14:textId="77777777" w:rsidR="004C6BB0" w:rsidRPr="000029CE" w:rsidRDefault="004C6BB0" w:rsidP="004C6BB0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kontrola běžících procesů</w:t>
      </w:r>
    </w:p>
    <w:p w14:paraId="07100EFC" w14:textId="77777777" w:rsidR="004C6BB0" w:rsidRPr="000029CE" w:rsidRDefault="004C6BB0" w:rsidP="004C6BB0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kontrola místa na disku</w:t>
      </w:r>
    </w:p>
    <w:p w14:paraId="0E1B80F6" w14:textId="77777777" w:rsidR="004C6BB0" w:rsidRPr="000029CE" w:rsidRDefault="004C6BB0" w:rsidP="004C6BB0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kontrola logů</w:t>
      </w:r>
    </w:p>
    <w:p w14:paraId="502F25AC" w14:textId="77777777" w:rsidR="004C6BB0" w:rsidRPr="000029CE" w:rsidRDefault="004C6BB0" w:rsidP="005447E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kontrola auditní databáze</w:t>
      </w:r>
    </w:p>
    <w:p w14:paraId="13D73C13" w14:textId="163D52F4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t>Opravy chyb standardního produktu a integrace oprav do aplikací objednatele</w:t>
      </w:r>
    </w:p>
    <w:p w14:paraId="43286830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instalace dodaného řešení do vývojového nebo testovacího prostředí objednatele</w:t>
      </w:r>
    </w:p>
    <w:p w14:paraId="0031D7A0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otestování funkčnosti řešení v testovacím prostředí objednatele</w:t>
      </w:r>
    </w:p>
    <w:p w14:paraId="1329D4F8" w14:textId="77777777" w:rsidR="004C6BB0" w:rsidRPr="000029CE" w:rsidRDefault="004C6BB0" w:rsidP="005447ED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instalace dodaného řešení do produkčního prostředí objednatele</w:t>
      </w:r>
    </w:p>
    <w:p w14:paraId="7B050E1D" w14:textId="240B41B8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t>Dodání a instalace nových verzi aplikací</w:t>
      </w:r>
    </w:p>
    <w:p w14:paraId="0BFB574A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instalace dodaného řešení do vývojového nebo testovacího prostředí objednatele</w:t>
      </w:r>
    </w:p>
    <w:p w14:paraId="445062F6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otestování funkčnosti řešení v testovacím prostředí objednatele</w:t>
      </w:r>
    </w:p>
    <w:p w14:paraId="5AF1503B" w14:textId="77777777" w:rsidR="004C6BB0" w:rsidRPr="000029CE" w:rsidRDefault="004C6BB0" w:rsidP="005447ED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instalace dodaného řešení do produkčního prostředí objednatele</w:t>
      </w:r>
    </w:p>
    <w:p w14:paraId="6C390FE8" w14:textId="43F8A17F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t>Opravy chyb programových úprav a ostatních vad plnění</w:t>
      </w:r>
    </w:p>
    <w:p w14:paraId="642426FF" w14:textId="77777777" w:rsidR="004C6BB0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jc w:val="both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opravy chyb programových úprav, které byly řádně předány poskytovateli na technickou podporu</w:t>
      </w:r>
    </w:p>
    <w:p w14:paraId="59F8FE3E" w14:textId="77777777" w:rsidR="004C6BB0" w:rsidRPr="000029CE" w:rsidRDefault="004C6BB0" w:rsidP="005447ED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čištění auditní databáze na výzvu objednatele</w:t>
      </w:r>
    </w:p>
    <w:p w14:paraId="3A20AE4E" w14:textId="07D2A8D1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t>Dokumentace oprav a servisních zásahů objednatele</w:t>
      </w:r>
    </w:p>
    <w:p w14:paraId="12CBB9F6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 xml:space="preserve">dokumentace oprav chyb standardního produktu, oprav chyb programových úprav a ostatních vad plnění </w:t>
      </w:r>
    </w:p>
    <w:p w14:paraId="2CA9BAC1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dokumentace nových verzí</w:t>
      </w:r>
      <w:r>
        <w:rPr>
          <w:rFonts w:eastAsia="Times New Roman" w:cs="Arial"/>
          <w:szCs w:val="20"/>
        </w:rPr>
        <w:t xml:space="preserve"> aplikace</w:t>
      </w:r>
    </w:p>
    <w:p w14:paraId="066E5449" w14:textId="77777777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dokumentace integrací oprav do aplikace objednatele,</w:t>
      </w:r>
    </w:p>
    <w:p w14:paraId="51A423A6" w14:textId="77777777" w:rsidR="004C6BB0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případně další dokumentace dle dohody mezi objednatelem a poskytovatelem</w:t>
      </w:r>
      <w:r>
        <w:rPr>
          <w:rFonts w:eastAsia="Times New Roman" w:cs="Arial"/>
          <w:szCs w:val="20"/>
        </w:rPr>
        <w:t>,</w:t>
      </w:r>
    </w:p>
    <w:p w14:paraId="20F87AD0" w14:textId="735527EF" w:rsidR="004C6BB0" w:rsidRDefault="004C6BB0" w:rsidP="00831CC5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jc w:val="both"/>
        <w:rPr>
          <w:rFonts w:eastAsia="Times New Roman" w:cs="Arial"/>
          <w:szCs w:val="20"/>
        </w:rPr>
      </w:pPr>
      <w:r w:rsidRPr="00830934">
        <w:rPr>
          <w:rFonts w:eastAsia="Times New Roman" w:cs="Arial"/>
          <w:szCs w:val="20"/>
        </w:rPr>
        <w:t xml:space="preserve">dokumentace bude </w:t>
      </w:r>
      <w:r>
        <w:rPr>
          <w:rFonts w:eastAsia="Times New Roman" w:cs="Arial"/>
          <w:szCs w:val="20"/>
        </w:rPr>
        <w:t xml:space="preserve">vedena </w:t>
      </w:r>
      <w:r w:rsidRPr="00830934">
        <w:rPr>
          <w:rFonts w:eastAsia="Times New Roman" w:cs="Arial"/>
          <w:szCs w:val="20"/>
        </w:rPr>
        <w:t>v </w:t>
      </w:r>
      <w:r>
        <w:rPr>
          <w:rFonts w:eastAsia="Times New Roman" w:cs="Arial"/>
          <w:szCs w:val="20"/>
        </w:rPr>
        <w:t>č</w:t>
      </w:r>
      <w:r w:rsidRPr="00830934">
        <w:rPr>
          <w:rFonts w:eastAsia="Times New Roman" w:cs="Arial"/>
          <w:szCs w:val="20"/>
        </w:rPr>
        <w:t>eském jazyce</w:t>
      </w:r>
      <w:r>
        <w:rPr>
          <w:rFonts w:eastAsia="Times New Roman" w:cs="Arial"/>
          <w:szCs w:val="20"/>
        </w:rPr>
        <w:t xml:space="preserve"> v systému aplikace </w:t>
      </w:r>
      <w:proofErr w:type="spellStart"/>
      <w:r>
        <w:rPr>
          <w:rFonts w:eastAsia="Times New Roman" w:cs="Arial"/>
          <w:szCs w:val="20"/>
        </w:rPr>
        <w:t>Service</w:t>
      </w:r>
      <w:proofErr w:type="spellEnd"/>
      <w:r>
        <w:rPr>
          <w:rFonts w:eastAsia="Times New Roman" w:cs="Arial"/>
          <w:szCs w:val="20"/>
        </w:rPr>
        <w:t xml:space="preserve"> </w:t>
      </w:r>
      <w:proofErr w:type="spellStart"/>
      <w:r>
        <w:rPr>
          <w:rFonts w:eastAsia="Times New Roman" w:cs="Arial"/>
          <w:szCs w:val="20"/>
        </w:rPr>
        <w:t>Desk</w:t>
      </w:r>
      <w:proofErr w:type="spellEnd"/>
      <w:r>
        <w:rPr>
          <w:rFonts w:eastAsia="Times New Roman" w:cs="Arial"/>
          <w:szCs w:val="20"/>
        </w:rPr>
        <w:t xml:space="preserve"> nebo bude předávána ve formě okomentovaných zdrojových kódů, případně jako samostatné dokumenty.</w:t>
      </w:r>
    </w:p>
    <w:p w14:paraId="778C396D" w14:textId="1A608C4C" w:rsidR="004C6BB0" w:rsidRPr="00D83B33" w:rsidRDefault="00831CC5" w:rsidP="005447ED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</w:t>
      </w:r>
      <w:r w:rsidR="004C6BB0">
        <w:rPr>
          <w:rFonts w:eastAsia="Times New Roman" w:cs="Arial"/>
          <w:szCs w:val="20"/>
        </w:rPr>
        <w:t xml:space="preserve">říprava </w:t>
      </w:r>
      <w:proofErr w:type="spellStart"/>
      <w:r w:rsidR="004C6BB0">
        <w:rPr>
          <w:rFonts w:eastAsia="Times New Roman" w:cs="Arial"/>
          <w:szCs w:val="20"/>
        </w:rPr>
        <w:t>mikroreportů</w:t>
      </w:r>
      <w:proofErr w:type="spellEnd"/>
      <w:r w:rsidR="004C6BB0">
        <w:rPr>
          <w:rFonts w:eastAsia="Times New Roman" w:cs="Arial"/>
          <w:szCs w:val="20"/>
        </w:rPr>
        <w:t xml:space="preserve"> provozu webových služeb</w:t>
      </w:r>
    </w:p>
    <w:p w14:paraId="3A5FC3A1" w14:textId="76D518D1" w:rsidR="004C6BB0" w:rsidRPr="00261CB2" w:rsidRDefault="004C6BB0" w:rsidP="00261CB2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284" w:hanging="284"/>
        <w:jc w:val="both"/>
        <w:rPr>
          <w:rFonts w:cs="Arial"/>
          <w:b/>
          <w:sz w:val="22"/>
        </w:rPr>
      </w:pPr>
      <w:r w:rsidRPr="00261CB2">
        <w:rPr>
          <w:rFonts w:cs="Arial"/>
          <w:b/>
          <w:sz w:val="22"/>
        </w:rPr>
        <w:t>Konzultace objednatele s poskytovatelem</w:t>
      </w:r>
    </w:p>
    <w:p w14:paraId="06E0D740" w14:textId="04F311BC" w:rsidR="004C6BB0" w:rsidRPr="000029CE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ad-hoc telefonická či e-mailová konzultace</w:t>
      </w:r>
    </w:p>
    <w:p w14:paraId="7AAE6AF8" w14:textId="7BFC0FC4" w:rsidR="004C6BB0" w:rsidRDefault="004C6BB0" w:rsidP="004C6BB0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rPr>
          <w:rFonts w:eastAsia="Times New Roman" w:cs="Arial"/>
          <w:szCs w:val="20"/>
        </w:rPr>
      </w:pPr>
      <w:r w:rsidRPr="000029CE">
        <w:rPr>
          <w:rFonts w:eastAsia="Times New Roman" w:cs="Arial"/>
          <w:szCs w:val="20"/>
        </w:rPr>
        <w:t>osobní konzultace v místě plnění</w:t>
      </w:r>
    </w:p>
    <w:p w14:paraId="104A9931" w14:textId="64E34E1C" w:rsidR="004C6BB0" w:rsidRPr="000029CE" w:rsidRDefault="004C6BB0" w:rsidP="005447ED">
      <w:pPr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360" w:line="240" w:lineRule="auto"/>
        <w:ind w:left="357" w:hanging="357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provedení školení na základě požadavku objednatele</w:t>
      </w:r>
    </w:p>
    <w:p w14:paraId="723A766D" w14:textId="77777777" w:rsidR="004C6BB0" w:rsidRPr="000029CE" w:rsidRDefault="004C6BB0" w:rsidP="009C3BCE">
      <w:pPr>
        <w:keepNext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11" w:name="_Toc441758013"/>
      <w:r w:rsidRPr="000029CE">
        <w:rPr>
          <w:rFonts w:cs="Arial"/>
          <w:b/>
          <w:sz w:val="24"/>
          <w:szCs w:val="24"/>
        </w:rPr>
        <w:lastRenderedPageBreak/>
        <w:t>Časový rozsah podpory:</w:t>
      </w:r>
      <w:bookmarkEnd w:id="11"/>
    </w:p>
    <w:p w14:paraId="47DE1561" w14:textId="370CA6E7" w:rsidR="004C6BB0" w:rsidRPr="004F1A17" w:rsidRDefault="004C6BB0" w:rsidP="00F26DC6">
      <w:pPr>
        <w:spacing w:before="240" w:after="240"/>
        <w:jc w:val="both"/>
        <w:rPr>
          <w:rFonts w:cs="Arial"/>
        </w:rPr>
      </w:pPr>
      <w:r w:rsidRPr="004F1A17">
        <w:rPr>
          <w:rFonts w:cs="Arial"/>
        </w:rPr>
        <w:t xml:space="preserve">Za pravidelně prováděné činnosti </w:t>
      </w:r>
      <w:r>
        <w:rPr>
          <w:rFonts w:cs="Arial"/>
        </w:rPr>
        <w:t>uvedené v odstavci</w:t>
      </w:r>
      <w:r w:rsidR="00AE2F86">
        <w:rPr>
          <w:rFonts w:cs="Arial"/>
        </w:rPr>
        <w:t xml:space="preserve"> a)</w:t>
      </w:r>
      <w:r>
        <w:rPr>
          <w:rFonts w:cs="Arial"/>
        </w:rPr>
        <w:t xml:space="preserve"> bodu 5. Věcný rozsah podpory </w:t>
      </w:r>
      <w:r w:rsidRPr="004F1A17">
        <w:rPr>
          <w:rFonts w:cs="Arial"/>
        </w:rPr>
        <w:t xml:space="preserve">bude účtována paušální měsíční částka a za ostatní činnosti servisní podpory aplikace </w:t>
      </w:r>
      <w:r>
        <w:rPr>
          <w:rFonts w:cs="Arial"/>
        </w:rPr>
        <w:t xml:space="preserve">(činnosti uvedené v odstavcích </w:t>
      </w:r>
      <w:r w:rsidR="00AE2F86">
        <w:rPr>
          <w:rFonts w:cs="Arial"/>
        </w:rPr>
        <w:t>b) a</w:t>
      </w:r>
      <w:r w:rsidR="007C4CAD">
        <w:rPr>
          <w:rFonts w:cs="Arial"/>
        </w:rPr>
        <w:t>ž</w:t>
      </w:r>
      <w:r w:rsidR="00AE2F86">
        <w:rPr>
          <w:rFonts w:cs="Arial"/>
        </w:rPr>
        <w:t xml:space="preserve"> f) </w:t>
      </w:r>
      <w:r>
        <w:rPr>
          <w:rFonts w:cs="Arial"/>
        </w:rPr>
        <w:t xml:space="preserve">bodu 5. Věcný rozsah podpory) </w:t>
      </w:r>
      <w:r w:rsidRPr="004F1A17">
        <w:rPr>
          <w:rFonts w:cs="Arial"/>
        </w:rPr>
        <w:t xml:space="preserve">bude cena účtována na základě skutečně odpracované doby poskytovatele. Ta bude evidována v měsíčních výkazech práce </w:t>
      </w:r>
      <w:r>
        <w:rPr>
          <w:rFonts w:cs="Arial"/>
        </w:rPr>
        <w:t>poskytovatele</w:t>
      </w:r>
      <w:r w:rsidRPr="004F1A17">
        <w:rPr>
          <w:rFonts w:cs="Arial"/>
        </w:rPr>
        <w:t xml:space="preserve">, které budou </w:t>
      </w:r>
      <w:r>
        <w:rPr>
          <w:rFonts w:cs="Arial"/>
        </w:rPr>
        <w:t xml:space="preserve">objednatelem </w:t>
      </w:r>
      <w:r w:rsidRPr="004F1A17">
        <w:rPr>
          <w:rFonts w:cs="Arial"/>
        </w:rPr>
        <w:t xml:space="preserve">odsouhlasovány. </w:t>
      </w:r>
    </w:p>
    <w:p w14:paraId="2DE705BA" w14:textId="77777777" w:rsidR="004C6BB0" w:rsidRPr="004F1A17" w:rsidRDefault="004C6BB0" w:rsidP="004C6BB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jc w:val="both"/>
        <w:rPr>
          <w:rFonts w:cs="Arial"/>
          <w:b/>
          <w:sz w:val="22"/>
        </w:rPr>
      </w:pPr>
      <w:r w:rsidRPr="004F1A17">
        <w:rPr>
          <w:rFonts w:cs="Arial"/>
          <w:b/>
          <w:sz w:val="22"/>
        </w:rPr>
        <w:t>Servisní kanály:</w:t>
      </w:r>
    </w:p>
    <w:p w14:paraId="12D38218" w14:textId="77777777" w:rsidR="004C6BB0" w:rsidRPr="0055329D" w:rsidRDefault="004C6BB0" w:rsidP="009C3BCE">
      <w:pPr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1071" w:hanging="357"/>
        <w:jc w:val="both"/>
        <w:rPr>
          <w:rFonts w:cs="Arial"/>
        </w:rPr>
      </w:pPr>
      <w:r w:rsidRPr="0055329D">
        <w:rPr>
          <w:rFonts w:cs="Arial"/>
        </w:rPr>
        <w:t xml:space="preserve">Online aplikace </w:t>
      </w:r>
      <w:proofErr w:type="spellStart"/>
      <w:r w:rsidRPr="0055329D">
        <w:rPr>
          <w:rFonts w:cs="Arial"/>
        </w:rPr>
        <w:t>Service</w:t>
      </w:r>
      <w:proofErr w:type="spellEnd"/>
      <w:r w:rsidRPr="0055329D">
        <w:rPr>
          <w:rFonts w:cs="Arial"/>
        </w:rPr>
        <w:t xml:space="preserve"> </w:t>
      </w:r>
      <w:proofErr w:type="spellStart"/>
      <w:r w:rsidRPr="0055329D">
        <w:rPr>
          <w:rFonts w:cs="Arial"/>
        </w:rPr>
        <w:t>Desk</w:t>
      </w:r>
      <w:proofErr w:type="spellEnd"/>
      <w:r w:rsidRPr="0055329D">
        <w:rPr>
          <w:rFonts w:cs="Arial"/>
        </w:rPr>
        <w:t xml:space="preserve"> na adrese: [</w:t>
      </w:r>
      <w:r w:rsidRPr="0055329D">
        <w:rPr>
          <w:rFonts w:cs="Arial"/>
          <w:highlight w:val="yellow"/>
        </w:rPr>
        <w:t>BUDE DOPLNĚNO</w:t>
      </w:r>
      <w:r w:rsidRPr="0055329D">
        <w:rPr>
          <w:rFonts w:cs="Arial"/>
        </w:rPr>
        <w:t>]</w:t>
      </w:r>
    </w:p>
    <w:p w14:paraId="57329E2C" w14:textId="77777777" w:rsidR="004C6BB0" w:rsidRPr="0055329D" w:rsidRDefault="004C6BB0" w:rsidP="009C3BCE">
      <w:pPr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1071" w:hanging="357"/>
        <w:jc w:val="both"/>
        <w:rPr>
          <w:rFonts w:cs="Arial"/>
        </w:rPr>
      </w:pPr>
      <w:r w:rsidRPr="0055329D">
        <w:rPr>
          <w:rFonts w:cs="Arial"/>
        </w:rPr>
        <w:t>Telefonicky na číslech: [</w:t>
      </w:r>
      <w:r w:rsidRPr="0055329D">
        <w:rPr>
          <w:rFonts w:cs="Arial"/>
          <w:highlight w:val="yellow"/>
        </w:rPr>
        <w:t>BUDE DOPLNĚNO</w:t>
      </w:r>
      <w:r w:rsidRPr="0055329D">
        <w:rPr>
          <w:rFonts w:cs="Arial"/>
        </w:rPr>
        <w:t>]</w:t>
      </w:r>
    </w:p>
    <w:p w14:paraId="4BEAD474" w14:textId="77777777" w:rsidR="004C6BB0" w:rsidRPr="0055329D" w:rsidRDefault="004C6BB0" w:rsidP="009C3BCE">
      <w:pPr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1071" w:hanging="357"/>
        <w:jc w:val="both"/>
        <w:rPr>
          <w:rFonts w:cs="Arial"/>
        </w:rPr>
      </w:pPr>
      <w:r w:rsidRPr="0055329D">
        <w:rPr>
          <w:rFonts w:cs="Arial"/>
        </w:rPr>
        <w:t>Emailem na adrese: [</w:t>
      </w:r>
      <w:r w:rsidRPr="0055329D">
        <w:rPr>
          <w:rFonts w:cs="Arial"/>
          <w:highlight w:val="yellow"/>
        </w:rPr>
        <w:t>BUDE DOPLNĚNO</w:t>
      </w:r>
      <w:r w:rsidRPr="0055329D">
        <w:rPr>
          <w:rFonts w:cs="Arial"/>
        </w:rPr>
        <w:t>]</w:t>
      </w:r>
      <w:hyperlink r:id="rId5" w:history="1"/>
    </w:p>
    <w:p w14:paraId="0AE53126" w14:textId="77777777" w:rsidR="004C6BB0" w:rsidRPr="000029CE" w:rsidRDefault="004C6BB0" w:rsidP="004C6BB0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outlineLvl w:val="0"/>
        <w:rPr>
          <w:rFonts w:cs="Arial"/>
          <w:b/>
          <w:sz w:val="24"/>
          <w:szCs w:val="24"/>
        </w:rPr>
      </w:pPr>
      <w:bookmarkStart w:id="12" w:name="_Toc441758014"/>
      <w:r w:rsidRPr="000029CE">
        <w:rPr>
          <w:rFonts w:cs="Arial"/>
          <w:b/>
          <w:sz w:val="24"/>
          <w:szCs w:val="24"/>
        </w:rPr>
        <w:t xml:space="preserve">Základní komunikační pravidla pro hlášení a řešení </w:t>
      </w:r>
      <w:r>
        <w:rPr>
          <w:rFonts w:cs="Arial"/>
          <w:b/>
          <w:sz w:val="24"/>
          <w:szCs w:val="24"/>
        </w:rPr>
        <w:t>i</w:t>
      </w:r>
      <w:r w:rsidRPr="000029CE">
        <w:rPr>
          <w:rFonts w:cs="Arial"/>
          <w:b/>
          <w:sz w:val="24"/>
          <w:szCs w:val="24"/>
        </w:rPr>
        <w:t>ncidentů:</w:t>
      </w:r>
      <w:bookmarkEnd w:id="12"/>
    </w:p>
    <w:p w14:paraId="159B2B77" w14:textId="77777777" w:rsidR="004C6BB0" w:rsidRPr="004F1A17" w:rsidRDefault="004C6BB0" w:rsidP="007313A2">
      <w:pPr>
        <w:spacing w:after="240"/>
        <w:jc w:val="both"/>
        <w:rPr>
          <w:rFonts w:cs="Arial"/>
        </w:rPr>
      </w:pPr>
      <w:r w:rsidRPr="004F1A17">
        <w:rPr>
          <w:rFonts w:cs="Arial"/>
        </w:rPr>
        <w:t xml:space="preserve">Pro zadávání, správu, evidenci, dokumentaci, komunikaci a vyhodnocování incidentů bude použita aplikace dohodnutá mezi poskytovatelem a objednatelem. Tato aplikace by měla umožnit oběma smluvním stranám minimálně: </w:t>
      </w:r>
    </w:p>
    <w:p w14:paraId="7CDF3198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 xml:space="preserve">online vzdálený zabezpečený přístup definovaným uživatelům za každou smluvní stranu </w:t>
      </w:r>
    </w:p>
    <w:p w14:paraId="197E8B5C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 xml:space="preserve">řádnou evidenci jednotlivých incidentů včetně možnosti jejich kategorizace dle </w:t>
      </w:r>
      <w:r>
        <w:rPr>
          <w:rFonts w:cs="Arial"/>
        </w:rPr>
        <w:t>bodu</w:t>
      </w:r>
      <w:r w:rsidRPr="004F1A17">
        <w:rPr>
          <w:rFonts w:cs="Arial"/>
        </w:rPr>
        <w:t xml:space="preserve"> 4</w:t>
      </w:r>
      <w:r>
        <w:rPr>
          <w:rFonts w:cs="Arial"/>
        </w:rPr>
        <w:t xml:space="preserve"> této přílohy</w:t>
      </w:r>
    </w:p>
    <w:p w14:paraId="26B4F4B5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 xml:space="preserve">sledování časového průběhu a náročnosti řešení incidentu (včetně </w:t>
      </w:r>
      <w:r>
        <w:rPr>
          <w:rFonts w:cs="Arial"/>
        </w:rPr>
        <w:t xml:space="preserve">uvedení </w:t>
      </w:r>
      <w:r w:rsidRPr="004F1A17">
        <w:rPr>
          <w:rFonts w:cs="Arial"/>
        </w:rPr>
        <w:t>časové známky jednotlivých statusů)</w:t>
      </w:r>
    </w:p>
    <w:p w14:paraId="071C84A5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>přiřazení vlastníka řešení</w:t>
      </w:r>
    </w:p>
    <w:p w14:paraId="6C196CF4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>filtrování a řazení incidentů</w:t>
      </w:r>
      <w:r>
        <w:rPr>
          <w:rFonts w:cs="Arial"/>
        </w:rPr>
        <w:t xml:space="preserve"> (podle kategorie, zadavatele, aktuálního stavu, data vložení)</w:t>
      </w:r>
    </w:p>
    <w:p w14:paraId="2675C3A1" w14:textId="77777777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>e-mailovou notifikac</w:t>
      </w:r>
      <w:r>
        <w:rPr>
          <w:rFonts w:cs="Arial"/>
        </w:rPr>
        <w:t>i</w:t>
      </w:r>
      <w:r w:rsidRPr="004F1A17">
        <w:rPr>
          <w:rFonts w:cs="Arial"/>
        </w:rPr>
        <w:t xml:space="preserve"> zadání a změny incidentu</w:t>
      </w:r>
    </w:p>
    <w:p w14:paraId="0EDEBC0D" w14:textId="7F387351" w:rsidR="004C6BB0" w:rsidRPr="004F1A17" w:rsidRDefault="004C6BB0" w:rsidP="004C6BB0">
      <w:pPr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jc w:val="both"/>
        <w:rPr>
          <w:rFonts w:cs="Arial"/>
        </w:rPr>
      </w:pPr>
      <w:r w:rsidRPr="004F1A17">
        <w:rPr>
          <w:rFonts w:cs="Arial"/>
        </w:rPr>
        <w:t xml:space="preserve">reporty incidentů </w:t>
      </w:r>
      <w:r>
        <w:rPr>
          <w:rFonts w:cs="Arial"/>
        </w:rPr>
        <w:t>(exporty seznamů incidentů podle výše uvedených filtrů do .</w:t>
      </w:r>
      <w:proofErr w:type="spellStart"/>
      <w:r>
        <w:rPr>
          <w:rFonts w:cs="Arial"/>
        </w:rPr>
        <w:t>xls</w:t>
      </w:r>
      <w:proofErr w:type="spellEnd"/>
      <w:r>
        <w:rPr>
          <w:rFonts w:cs="Arial"/>
        </w:rPr>
        <w:t>, případně jiného obecně používaného formátu).</w:t>
      </w:r>
    </w:p>
    <w:p w14:paraId="11E0F9EB" w14:textId="77777777" w:rsidR="004C6BB0" w:rsidRPr="004F1A17" w:rsidRDefault="004C6BB0" w:rsidP="005447ED">
      <w:pPr>
        <w:spacing w:after="240"/>
        <w:jc w:val="both"/>
        <w:rPr>
          <w:rFonts w:cs="Arial"/>
        </w:rPr>
      </w:pPr>
      <w:r w:rsidRPr="004F1A17">
        <w:rPr>
          <w:rFonts w:cs="Arial"/>
        </w:rPr>
        <w:t>V případě, že incident je způsoben vadou nebo vlastností standardního licencovaného softwarového produktu, informuje o tom poskytovatel objednatele a vyžádá si instrukce k dalšímu postupu, například vytvoření náhradního řešení, je-li to technicky možné, nebo předání Incidentu na technickou podporu příslušného výrobce.</w:t>
      </w:r>
    </w:p>
    <w:p w14:paraId="7EE072E0" w14:textId="77777777" w:rsidR="004C6BB0" w:rsidRPr="000029CE" w:rsidRDefault="004C6BB0" w:rsidP="00F26DC6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13" w:name="_Toc441758015"/>
      <w:r w:rsidRPr="000029CE">
        <w:rPr>
          <w:rFonts w:cs="Arial"/>
          <w:b/>
          <w:sz w:val="24"/>
          <w:szCs w:val="24"/>
        </w:rPr>
        <w:t>Kontaktní osoby objednatele: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1"/>
        <w:gridCol w:w="1763"/>
        <w:gridCol w:w="2987"/>
      </w:tblGrid>
      <w:tr w:rsidR="004C6BB0" w14:paraId="2D6C6F23" w14:textId="77777777" w:rsidTr="009C3BCE">
        <w:tc>
          <w:tcPr>
            <w:tcW w:w="1181" w:type="pct"/>
            <w:shd w:val="clear" w:color="auto" w:fill="D9D9D9" w:themeFill="background1" w:themeFillShade="D9"/>
          </w:tcPr>
          <w:p w14:paraId="03A3F8A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Typ kontaktu</w:t>
            </w:r>
          </w:p>
        </w:tc>
        <w:tc>
          <w:tcPr>
            <w:tcW w:w="1198" w:type="pct"/>
            <w:shd w:val="clear" w:color="auto" w:fill="D9D9D9" w:themeFill="background1" w:themeFillShade="D9"/>
          </w:tcPr>
          <w:p w14:paraId="4487137B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Jméno a příjmení</w:t>
            </w:r>
          </w:p>
        </w:tc>
        <w:tc>
          <w:tcPr>
            <w:tcW w:w="973" w:type="pct"/>
            <w:shd w:val="clear" w:color="auto" w:fill="D9D9D9" w:themeFill="background1" w:themeFillShade="D9"/>
          </w:tcPr>
          <w:p w14:paraId="0D033658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Telefon</w:t>
            </w:r>
          </w:p>
        </w:tc>
        <w:tc>
          <w:tcPr>
            <w:tcW w:w="1648" w:type="pct"/>
            <w:shd w:val="clear" w:color="auto" w:fill="D9D9D9" w:themeFill="background1" w:themeFillShade="D9"/>
          </w:tcPr>
          <w:p w14:paraId="4F488D95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Email</w:t>
            </w:r>
          </w:p>
        </w:tc>
      </w:tr>
      <w:tr w:rsidR="004C6BB0" w14:paraId="4E6FE566" w14:textId="77777777" w:rsidTr="009C3BCE">
        <w:tc>
          <w:tcPr>
            <w:tcW w:w="1181" w:type="pct"/>
            <w:shd w:val="clear" w:color="auto" w:fill="auto"/>
          </w:tcPr>
          <w:p w14:paraId="33F05BAC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Projektový manažer za ČRo</w:t>
            </w:r>
          </w:p>
        </w:tc>
        <w:tc>
          <w:tcPr>
            <w:tcW w:w="1198" w:type="pct"/>
            <w:shd w:val="clear" w:color="auto" w:fill="auto"/>
          </w:tcPr>
          <w:p w14:paraId="26F993AD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Ing. Martin Zadražil</w:t>
            </w:r>
          </w:p>
        </w:tc>
        <w:tc>
          <w:tcPr>
            <w:tcW w:w="973" w:type="pct"/>
            <w:shd w:val="clear" w:color="auto" w:fill="auto"/>
          </w:tcPr>
          <w:p w14:paraId="4FA3248B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+420 221 551 285</w:t>
            </w:r>
          </w:p>
        </w:tc>
        <w:tc>
          <w:tcPr>
            <w:tcW w:w="1648" w:type="pct"/>
            <w:shd w:val="clear" w:color="auto" w:fill="auto"/>
          </w:tcPr>
          <w:p w14:paraId="40BDDA63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martin.zadrazi</w:t>
            </w:r>
            <w:r>
              <w:rPr>
                <w:rFonts w:cs="Arial"/>
              </w:rPr>
              <w:t>l</w:t>
            </w:r>
            <w:r w:rsidRPr="004F1A17">
              <w:rPr>
                <w:rFonts w:cs="Arial"/>
              </w:rPr>
              <w:t>@rozhlas.cz</w:t>
            </w:r>
          </w:p>
        </w:tc>
      </w:tr>
      <w:tr w:rsidR="004C6BB0" w14:paraId="7FF3D439" w14:textId="77777777" w:rsidTr="009C3BCE">
        <w:tc>
          <w:tcPr>
            <w:tcW w:w="1181" w:type="pct"/>
            <w:shd w:val="clear" w:color="auto" w:fill="auto"/>
          </w:tcPr>
          <w:p w14:paraId="35C0674D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 xml:space="preserve">Hlavní kontaktní osoba pro </w:t>
            </w:r>
            <w:r>
              <w:rPr>
                <w:rFonts w:cs="Arial"/>
              </w:rPr>
              <w:t xml:space="preserve">servisní </w:t>
            </w:r>
            <w:r w:rsidRPr="004F1A17">
              <w:rPr>
                <w:rFonts w:cs="Arial"/>
              </w:rPr>
              <w:t>podporu</w:t>
            </w:r>
          </w:p>
        </w:tc>
        <w:tc>
          <w:tcPr>
            <w:tcW w:w="1198" w:type="pct"/>
            <w:shd w:val="clear" w:color="auto" w:fill="auto"/>
          </w:tcPr>
          <w:p w14:paraId="3147C85E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Ing. Karel Babický</w:t>
            </w:r>
          </w:p>
        </w:tc>
        <w:tc>
          <w:tcPr>
            <w:tcW w:w="973" w:type="pct"/>
            <w:shd w:val="clear" w:color="auto" w:fill="auto"/>
          </w:tcPr>
          <w:p w14:paraId="29DE9E5C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+420 221 553 298</w:t>
            </w:r>
          </w:p>
        </w:tc>
        <w:tc>
          <w:tcPr>
            <w:tcW w:w="1648" w:type="pct"/>
            <w:shd w:val="clear" w:color="auto" w:fill="auto"/>
          </w:tcPr>
          <w:p w14:paraId="5C6DEB96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 xml:space="preserve">karel.babicky@rozhlas.cz </w:t>
            </w:r>
          </w:p>
        </w:tc>
      </w:tr>
      <w:tr w:rsidR="004C6BB0" w14:paraId="2AB3F6E0" w14:textId="77777777" w:rsidTr="009C3BCE">
        <w:tc>
          <w:tcPr>
            <w:tcW w:w="1181" w:type="pct"/>
            <w:shd w:val="clear" w:color="auto" w:fill="auto"/>
          </w:tcPr>
          <w:p w14:paraId="48217CC7" w14:textId="77777777" w:rsidR="004C6BB0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Eskalační kontakt</w:t>
            </w:r>
          </w:p>
          <w:p w14:paraId="47BCB1B0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(v případě nedohody projektového manažera nebo kontaktní osoby objednatele a poskytovatele)</w:t>
            </w:r>
          </w:p>
        </w:tc>
        <w:tc>
          <w:tcPr>
            <w:tcW w:w="1198" w:type="pct"/>
            <w:shd w:val="clear" w:color="auto" w:fill="auto"/>
          </w:tcPr>
          <w:p w14:paraId="2CF98D26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lastRenderedPageBreak/>
              <w:t>Zbyněk Javornický, vedoucí odboru IT</w:t>
            </w:r>
          </w:p>
        </w:tc>
        <w:tc>
          <w:tcPr>
            <w:tcW w:w="973" w:type="pct"/>
            <w:shd w:val="clear" w:color="auto" w:fill="auto"/>
          </w:tcPr>
          <w:p w14:paraId="7CA8A6F8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+420 221 553 273</w:t>
            </w:r>
          </w:p>
        </w:tc>
        <w:tc>
          <w:tcPr>
            <w:tcW w:w="1648" w:type="pct"/>
            <w:shd w:val="clear" w:color="auto" w:fill="auto"/>
          </w:tcPr>
          <w:p w14:paraId="6D1A72D3" w14:textId="77777777" w:rsidR="004C6BB0" w:rsidRPr="004F1A17" w:rsidRDefault="007C4CAD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hyperlink r:id="rId6" w:history="1">
              <w:r w:rsidR="004C6BB0" w:rsidRPr="004F1A17">
                <w:rPr>
                  <w:rFonts w:cs="Arial"/>
                  <w:color w:val="0563C1"/>
                  <w:u w:val="single"/>
                </w:rPr>
                <w:t>zbynek.javornicky@rozhlas.cz</w:t>
              </w:r>
            </w:hyperlink>
            <w:r w:rsidR="004C6BB0" w:rsidRPr="004F1A17">
              <w:rPr>
                <w:rFonts w:cs="Arial"/>
              </w:rPr>
              <w:t xml:space="preserve"> </w:t>
            </w:r>
          </w:p>
        </w:tc>
      </w:tr>
    </w:tbl>
    <w:p w14:paraId="481DC9EF" w14:textId="77777777" w:rsidR="004C6BB0" w:rsidRPr="000029CE" w:rsidRDefault="004C6BB0" w:rsidP="00F26DC6">
      <w:pPr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/>
        <w:ind w:left="357" w:hanging="357"/>
        <w:outlineLvl w:val="0"/>
        <w:rPr>
          <w:rFonts w:cs="Arial"/>
          <w:b/>
          <w:sz w:val="24"/>
          <w:szCs w:val="24"/>
        </w:rPr>
      </w:pPr>
      <w:bookmarkStart w:id="14" w:name="_Toc441758016"/>
      <w:r w:rsidRPr="000029CE">
        <w:rPr>
          <w:rFonts w:cs="Arial"/>
          <w:b/>
          <w:sz w:val="24"/>
          <w:szCs w:val="24"/>
        </w:rPr>
        <w:t xml:space="preserve">Kontaktní osoby </w:t>
      </w:r>
      <w:r w:rsidRPr="0055329D">
        <w:rPr>
          <w:rFonts w:cs="Arial"/>
          <w:b/>
          <w:sz w:val="24"/>
          <w:szCs w:val="24"/>
        </w:rPr>
        <w:t>poskytovatele</w:t>
      </w:r>
      <w:r w:rsidRPr="004F1A17">
        <w:rPr>
          <w:rFonts w:cs="Arial"/>
          <w:b/>
          <w:sz w:val="24"/>
          <w:szCs w:val="24"/>
        </w:rPr>
        <w:t>:</w:t>
      </w:r>
      <w:bookmarkEnd w:id="14"/>
      <w:r w:rsidRPr="000029CE">
        <w:rPr>
          <w:rFonts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1"/>
        <w:gridCol w:w="1763"/>
        <w:gridCol w:w="2987"/>
      </w:tblGrid>
      <w:tr w:rsidR="004C6BB0" w14:paraId="06531EFC" w14:textId="77777777" w:rsidTr="009C3BCE">
        <w:tc>
          <w:tcPr>
            <w:tcW w:w="1181" w:type="pct"/>
            <w:shd w:val="clear" w:color="auto" w:fill="D9D9D9" w:themeFill="background1" w:themeFillShade="D9"/>
          </w:tcPr>
          <w:p w14:paraId="39D8B91B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Typ kontaktu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20E22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Jméno a příjmení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51992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Telefon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52F37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  <w:b/>
              </w:rPr>
            </w:pPr>
            <w:r w:rsidRPr="004F1A17">
              <w:rPr>
                <w:rFonts w:cs="Arial"/>
                <w:b/>
              </w:rPr>
              <w:t>Email</w:t>
            </w:r>
          </w:p>
        </w:tc>
      </w:tr>
      <w:tr w:rsidR="004C6BB0" w14:paraId="6135AEA9" w14:textId="77777777" w:rsidTr="009C3BCE">
        <w:tc>
          <w:tcPr>
            <w:tcW w:w="1181" w:type="pct"/>
            <w:shd w:val="clear" w:color="auto" w:fill="auto"/>
          </w:tcPr>
          <w:p w14:paraId="3DD85B9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 xml:space="preserve">Hlavní kontaktní osoba pro </w:t>
            </w:r>
            <w:r>
              <w:rPr>
                <w:rFonts w:cs="Arial"/>
              </w:rPr>
              <w:t>servisní</w:t>
            </w:r>
            <w:r w:rsidRPr="004F1A17">
              <w:rPr>
                <w:rFonts w:cs="Arial"/>
              </w:rPr>
              <w:t xml:space="preserve"> podporu</w:t>
            </w:r>
          </w:p>
        </w:tc>
        <w:tc>
          <w:tcPr>
            <w:tcW w:w="1198" w:type="pct"/>
            <w:shd w:val="clear" w:color="auto" w:fill="FFFF00"/>
          </w:tcPr>
          <w:p w14:paraId="303EE34F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77A328A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495BC8DD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  <w:tr w:rsidR="004C6BB0" w14:paraId="10D7667B" w14:textId="77777777" w:rsidTr="009C3BCE">
        <w:tc>
          <w:tcPr>
            <w:tcW w:w="1181" w:type="pct"/>
            <w:vMerge w:val="restart"/>
            <w:shd w:val="clear" w:color="auto" w:fill="auto"/>
          </w:tcPr>
          <w:p w14:paraId="637A6435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 xml:space="preserve">Další osoby přijímající </w:t>
            </w:r>
            <w:r>
              <w:rPr>
                <w:rFonts w:cs="Arial"/>
              </w:rPr>
              <w:t>servisní</w:t>
            </w:r>
            <w:r w:rsidRPr="004F1A17">
              <w:rPr>
                <w:rFonts w:cs="Arial"/>
              </w:rPr>
              <w:t xml:space="preserve"> podporu</w:t>
            </w:r>
          </w:p>
        </w:tc>
        <w:tc>
          <w:tcPr>
            <w:tcW w:w="1198" w:type="pct"/>
            <w:shd w:val="clear" w:color="auto" w:fill="FFFF00"/>
          </w:tcPr>
          <w:p w14:paraId="696324C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1B872390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2A6C1E6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  <w:tr w:rsidR="004C6BB0" w14:paraId="4A8CAB06" w14:textId="77777777" w:rsidTr="009C3BCE">
        <w:tc>
          <w:tcPr>
            <w:tcW w:w="1181" w:type="pct"/>
            <w:vMerge/>
            <w:shd w:val="clear" w:color="auto" w:fill="auto"/>
          </w:tcPr>
          <w:p w14:paraId="32834956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198" w:type="pct"/>
            <w:shd w:val="clear" w:color="auto" w:fill="FFFF00"/>
          </w:tcPr>
          <w:p w14:paraId="71A13B1C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51659D54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4251789B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  <w:tr w:rsidR="004C6BB0" w14:paraId="19DC3076" w14:textId="77777777" w:rsidTr="009C3BCE">
        <w:tc>
          <w:tcPr>
            <w:tcW w:w="1181" w:type="pct"/>
            <w:vMerge/>
            <w:shd w:val="clear" w:color="auto" w:fill="auto"/>
          </w:tcPr>
          <w:p w14:paraId="1189E16B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198" w:type="pct"/>
            <w:shd w:val="clear" w:color="auto" w:fill="FFFF00"/>
          </w:tcPr>
          <w:p w14:paraId="71999059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2B43954D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5AC38543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  <w:tr w:rsidR="004C6BB0" w14:paraId="0760817D" w14:textId="77777777" w:rsidTr="009C3BCE">
        <w:tc>
          <w:tcPr>
            <w:tcW w:w="1181" w:type="pct"/>
            <w:vMerge/>
            <w:shd w:val="clear" w:color="auto" w:fill="auto"/>
          </w:tcPr>
          <w:p w14:paraId="2F3BDF88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198" w:type="pct"/>
            <w:shd w:val="clear" w:color="auto" w:fill="FFFF00"/>
          </w:tcPr>
          <w:p w14:paraId="26FB34E2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0E2878BA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41AC3B02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  <w:tr w:rsidR="004C6BB0" w14:paraId="44634A03" w14:textId="77777777" w:rsidTr="009C3BCE">
        <w:tc>
          <w:tcPr>
            <w:tcW w:w="1181" w:type="pct"/>
            <w:shd w:val="clear" w:color="auto" w:fill="auto"/>
          </w:tcPr>
          <w:p w14:paraId="1C545002" w14:textId="77777777" w:rsidR="004C6BB0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 w:rsidRPr="004F1A17">
              <w:rPr>
                <w:rFonts w:cs="Arial"/>
              </w:rPr>
              <w:t>Eskalační kontakt</w:t>
            </w:r>
          </w:p>
          <w:p w14:paraId="698E2E06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(v případě nedohody projektového manažera nebo kontaktní osoby objednatele a poskytovatele)</w:t>
            </w:r>
          </w:p>
        </w:tc>
        <w:tc>
          <w:tcPr>
            <w:tcW w:w="1198" w:type="pct"/>
            <w:shd w:val="clear" w:color="auto" w:fill="FFFF00"/>
          </w:tcPr>
          <w:p w14:paraId="0E887918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973" w:type="pct"/>
            <w:shd w:val="clear" w:color="auto" w:fill="FFFF00"/>
          </w:tcPr>
          <w:p w14:paraId="249A4A30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  <w:tc>
          <w:tcPr>
            <w:tcW w:w="1648" w:type="pct"/>
            <w:shd w:val="clear" w:color="auto" w:fill="FFFF00"/>
          </w:tcPr>
          <w:p w14:paraId="4E1CDD51" w14:textId="77777777" w:rsidR="004C6BB0" w:rsidRPr="004F1A17" w:rsidRDefault="004C6BB0" w:rsidP="00AB37A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after="160" w:line="259" w:lineRule="auto"/>
              <w:rPr>
                <w:rFonts w:cs="Arial"/>
              </w:rPr>
            </w:pPr>
          </w:p>
        </w:tc>
      </w:tr>
    </w:tbl>
    <w:p w14:paraId="79F66510" w14:textId="77777777" w:rsidR="004C6BB0" w:rsidRPr="004F1A17" w:rsidRDefault="004C6BB0" w:rsidP="00F26DC6">
      <w:pPr>
        <w:spacing w:before="240" w:after="240"/>
        <w:jc w:val="both"/>
        <w:rPr>
          <w:rFonts w:cs="Arial"/>
          <w:sz w:val="22"/>
        </w:rPr>
      </w:pPr>
      <w:bookmarkStart w:id="15" w:name="_Toc432421100"/>
      <w:bookmarkStart w:id="16" w:name="_Toc444068394"/>
      <w:bookmarkStart w:id="17" w:name="_Toc447099566"/>
      <w:r>
        <w:rPr>
          <w:rFonts w:cs="Arial"/>
          <w:b/>
          <w:sz w:val="28"/>
          <w:szCs w:val="28"/>
        </w:rPr>
        <w:t xml:space="preserve">C. </w:t>
      </w:r>
      <w:r w:rsidRPr="000029CE">
        <w:rPr>
          <w:rFonts w:cs="Arial"/>
          <w:b/>
          <w:sz w:val="28"/>
          <w:szCs w:val="28"/>
        </w:rPr>
        <w:t>Další rozvoj ESB</w:t>
      </w:r>
      <w:bookmarkEnd w:id="15"/>
      <w:r w:rsidRPr="000029CE">
        <w:rPr>
          <w:rFonts w:cs="Arial"/>
          <w:b/>
          <w:sz w:val="28"/>
          <w:szCs w:val="28"/>
        </w:rPr>
        <w:t xml:space="preserve"> platformy</w:t>
      </w:r>
      <w:bookmarkEnd w:id="16"/>
      <w:bookmarkEnd w:id="17"/>
    </w:p>
    <w:p w14:paraId="7C9018A9" w14:textId="77777777" w:rsidR="004C6BB0" w:rsidRPr="004F1A17" w:rsidRDefault="004C6BB0" w:rsidP="00F26DC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/>
        <w:jc w:val="both"/>
        <w:rPr>
          <w:rFonts w:cs="Arial"/>
        </w:rPr>
      </w:pPr>
      <w:r w:rsidRPr="004F1A17">
        <w:rPr>
          <w:rFonts w:cs="Arial"/>
        </w:rPr>
        <w:t>Další rozvoj předpokládáme zejména v těchto oblastech:</w:t>
      </w:r>
    </w:p>
    <w:p w14:paraId="3F0F035B" w14:textId="77777777" w:rsidR="004C6BB0" w:rsidRPr="000029CE" w:rsidRDefault="004C6BB0" w:rsidP="004C6BB0">
      <w:pPr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jc w:val="both"/>
        <w:rPr>
          <w:rFonts w:cs="Arial"/>
        </w:rPr>
      </w:pPr>
      <w:r w:rsidRPr="000029CE">
        <w:rPr>
          <w:rFonts w:cs="Arial"/>
        </w:rPr>
        <w:t>Možné doplnění nových typů rozhraní (stejné komplexity jako jsou existující)</w:t>
      </w:r>
      <w:r>
        <w:rPr>
          <w:rFonts w:cs="Arial"/>
        </w:rPr>
        <w:t xml:space="preserve"> pro připojení dalších interních IT systémů </w:t>
      </w:r>
      <w:proofErr w:type="spellStart"/>
      <w:r>
        <w:rPr>
          <w:rFonts w:cs="Arial"/>
        </w:rPr>
        <w:t>ČRo</w:t>
      </w:r>
      <w:proofErr w:type="spellEnd"/>
    </w:p>
    <w:p w14:paraId="3E008C8E" w14:textId="77777777" w:rsidR="004C6BB0" w:rsidRPr="000029CE" w:rsidRDefault="004C6BB0" w:rsidP="004C6BB0">
      <w:pPr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jc w:val="both"/>
        <w:rPr>
          <w:rFonts w:cs="Arial"/>
        </w:rPr>
      </w:pPr>
      <w:r w:rsidRPr="000029CE">
        <w:rPr>
          <w:rFonts w:cs="Arial"/>
        </w:rPr>
        <w:t xml:space="preserve">Doplnění </w:t>
      </w:r>
      <w:r>
        <w:rPr>
          <w:rFonts w:cs="Arial"/>
        </w:rPr>
        <w:t>o</w:t>
      </w:r>
      <w:r w:rsidRPr="000029CE">
        <w:rPr>
          <w:rFonts w:cs="Arial"/>
        </w:rPr>
        <w:t xml:space="preserve"> efektivní monitorování provozu</w:t>
      </w:r>
      <w:r>
        <w:rPr>
          <w:rFonts w:cs="Arial"/>
        </w:rPr>
        <w:t xml:space="preserve"> ESB platformy</w:t>
      </w:r>
      <w:r w:rsidRPr="000029CE">
        <w:rPr>
          <w:rFonts w:cs="Arial"/>
        </w:rPr>
        <w:t xml:space="preserve">, příp. napojení na monitorovací systém </w:t>
      </w:r>
      <w:proofErr w:type="spellStart"/>
      <w:r w:rsidRPr="000029CE">
        <w:rPr>
          <w:rFonts w:cs="Arial"/>
        </w:rPr>
        <w:t>ČRo</w:t>
      </w:r>
      <w:proofErr w:type="spellEnd"/>
    </w:p>
    <w:p w14:paraId="361CFCE7" w14:textId="331AB638" w:rsidR="004C6BB0" w:rsidRDefault="004C6BB0" w:rsidP="004C6BB0">
      <w:pPr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40" w:lineRule="auto"/>
        <w:jc w:val="both"/>
        <w:rPr>
          <w:rFonts w:cs="Arial"/>
        </w:rPr>
      </w:pPr>
      <w:r w:rsidRPr="000029CE">
        <w:rPr>
          <w:rFonts w:cs="Arial"/>
        </w:rPr>
        <w:t>Podpora automatizace vybraných procesů ČRo s využitím informačních systémů a jejich integrace</w:t>
      </w:r>
    </w:p>
    <w:p w14:paraId="15E651D8" w14:textId="508735C9" w:rsidR="00E64BB6" w:rsidRDefault="00E64BB6" w:rsidP="00F26DC6">
      <w:pPr>
        <w:spacing w:before="240" w:after="240"/>
        <w:rPr>
          <w:b/>
          <w:color w:val="000F37"/>
          <w:sz w:val="28"/>
          <w:szCs w:val="28"/>
        </w:rPr>
      </w:pPr>
      <w:r>
        <w:rPr>
          <w:b/>
          <w:color w:val="000F37"/>
          <w:sz w:val="28"/>
          <w:szCs w:val="28"/>
        </w:rPr>
        <w:t>D. Upgrade na vyšší verzi ESB</w:t>
      </w:r>
    </w:p>
    <w:p w14:paraId="56C14FB0" w14:textId="1674F328" w:rsidR="00E64BB6" w:rsidRDefault="00E64BB6" w:rsidP="00F26DC6">
      <w:pPr>
        <w:spacing w:before="240" w:after="240"/>
        <w:jc w:val="both"/>
        <w:rPr>
          <w:rFonts w:cs="Arial"/>
        </w:rPr>
      </w:pPr>
      <w:r>
        <w:rPr>
          <w:rFonts w:cs="Arial"/>
        </w:rPr>
        <w:t xml:space="preserve">Poskytovatel provede jednorázový převod stávajícího, výše popsaného prostředí, do prostředí nejvyšší, výrobcem aktuálně podporované verze </w:t>
      </w:r>
      <w:proofErr w:type="gramStart"/>
      <w:r>
        <w:rPr>
          <w:rFonts w:cs="Arial"/>
        </w:rPr>
        <w:t>ESB</w:t>
      </w:r>
      <w:proofErr w:type="gramEnd"/>
      <w:r>
        <w:rPr>
          <w:rFonts w:cs="Arial"/>
        </w:rPr>
        <w:t xml:space="preserve"> a to jako jednorázově poskytnutou službu v pevně daném čase a za pevně stanovenou cenu.</w:t>
      </w:r>
    </w:p>
    <w:p w14:paraId="385C9CE2" w14:textId="77777777" w:rsidR="003E3F21" w:rsidRPr="009C3BCE" w:rsidRDefault="003E3F21" w:rsidP="009C3BCE">
      <w:pPr>
        <w:rPr>
          <w:rFonts w:cs="Arial"/>
        </w:rPr>
      </w:pPr>
    </w:p>
    <w:sectPr w:rsidR="003E3F21" w:rsidRPr="009C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13721EF1"/>
    <w:multiLevelType w:val="hybridMultilevel"/>
    <w:tmpl w:val="AF223C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D8826C">
      <w:numFmt w:val="bullet"/>
      <w:lvlText w:val="-"/>
      <w:lvlJc w:val="left"/>
      <w:pPr>
        <w:ind w:left="1350" w:hanging="63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313F3"/>
    <w:multiLevelType w:val="hybridMultilevel"/>
    <w:tmpl w:val="0D34F8F2"/>
    <w:lvl w:ilvl="0" w:tplc="040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7FE266A"/>
    <w:multiLevelType w:val="multilevel"/>
    <w:tmpl w:val="7A52F706"/>
    <w:lvl w:ilvl="0">
      <w:start w:val="1"/>
      <w:numFmt w:val="decimal"/>
      <w:pStyle w:val="Nadpis1"/>
      <w:lvlText w:val="%1. "/>
      <w:lvlJc w:val="left"/>
      <w:pPr>
        <w:ind w:left="152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right"/>
      <w:pPr>
        <w:ind w:left="4980" w:hanging="44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2" w:hanging="1800"/>
      </w:pPr>
      <w:rPr>
        <w:rFonts w:hint="default"/>
      </w:rPr>
    </w:lvl>
  </w:abstractNum>
  <w:abstractNum w:abstractNumId="4" w15:restartNumberingAfterBreak="0">
    <w:nsid w:val="1C0B0232"/>
    <w:multiLevelType w:val="hybridMultilevel"/>
    <w:tmpl w:val="E8743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94668"/>
    <w:multiLevelType w:val="hybridMultilevel"/>
    <w:tmpl w:val="8BD61C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244F10"/>
    <w:multiLevelType w:val="multilevel"/>
    <w:tmpl w:val="C2A02212"/>
    <w:numStyleLink w:val="List-Contract"/>
  </w:abstractNum>
  <w:abstractNum w:abstractNumId="7" w15:restartNumberingAfterBreak="0">
    <w:nsid w:val="325055A1"/>
    <w:multiLevelType w:val="hybridMultilevel"/>
    <w:tmpl w:val="9AB22C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41D5"/>
    <w:multiLevelType w:val="hybridMultilevel"/>
    <w:tmpl w:val="8BDAAE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32821A7"/>
    <w:multiLevelType w:val="multilevel"/>
    <w:tmpl w:val="2D0802E0"/>
    <w:lvl w:ilvl="0">
      <w:start w:val="1"/>
      <w:numFmt w:val="bullet"/>
      <w:lvlText w:val="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color w:val="494A52"/>
        <w:sz w:val="14"/>
        <w:szCs w:val="20"/>
      </w:rPr>
    </w:lvl>
    <w:lvl w:ilvl="1">
      <w:start w:val="1"/>
      <w:numFmt w:val="bullet"/>
      <w:lvlText w:val=""/>
      <w:lvlJc w:val="left"/>
      <w:pPr>
        <w:tabs>
          <w:tab w:val="num" w:pos="717"/>
        </w:tabs>
        <w:ind w:left="754" w:hanging="397"/>
      </w:pPr>
      <w:rPr>
        <w:rFonts w:ascii="Wingdings" w:hAnsi="Wingdings" w:hint="default"/>
        <w:b w:val="0"/>
        <w:i w:val="0"/>
        <w:color w:val="494A52"/>
        <w:sz w:val="14"/>
        <w:szCs w:val="20"/>
      </w:rPr>
    </w:lvl>
    <w:lvl w:ilvl="2">
      <w:start w:val="1"/>
      <w:numFmt w:val="bullet"/>
      <w:lvlText w:val=""/>
      <w:lvlJc w:val="left"/>
      <w:pPr>
        <w:tabs>
          <w:tab w:val="num" w:pos="1074"/>
        </w:tabs>
        <w:ind w:left="1111" w:hanging="397"/>
      </w:pPr>
      <w:rPr>
        <w:rFonts w:ascii="Wingdings" w:hAnsi="Wingdings" w:hint="default"/>
        <w:b w:val="0"/>
        <w:i w:val="0"/>
        <w:color w:val="494A52"/>
        <w:sz w:val="14"/>
        <w:szCs w:val="16"/>
      </w:rPr>
    </w:lvl>
    <w:lvl w:ilvl="3">
      <w:start w:val="1"/>
      <w:numFmt w:val="bullet"/>
      <w:lvlText w:val=""/>
      <w:lvlJc w:val="left"/>
      <w:pPr>
        <w:tabs>
          <w:tab w:val="num" w:pos="1431"/>
        </w:tabs>
        <w:ind w:left="1468" w:hanging="397"/>
      </w:pPr>
      <w:rPr>
        <w:rFonts w:ascii="Wingdings" w:hAnsi="Wingdings" w:hint="default"/>
        <w:color w:val="494A52"/>
        <w:sz w:val="14"/>
        <w:szCs w:val="16"/>
      </w:rPr>
    </w:lvl>
    <w:lvl w:ilvl="4">
      <w:start w:val="1"/>
      <w:numFmt w:val="bullet"/>
      <w:lvlText w:val=""/>
      <w:lvlJc w:val="left"/>
      <w:pPr>
        <w:tabs>
          <w:tab w:val="num" w:pos="1788"/>
        </w:tabs>
        <w:ind w:left="1825" w:hanging="397"/>
      </w:pPr>
      <w:rPr>
        <w:rFonts w:ascii="Wingdings" w:hAnsi="Wingdings" w:hint="default"/>
        <w:color w:val="494A52"/>
        <w:sz w:val="14"/>
      </w:rPr>
    </w:lvl>
    <w:lvl w:ilvl="5">
      <w:start w:val="1"/>
      <w:numFmt w:val="bullet"/>
      <w:lvlText w:val=""/>
      <w:lvlJc w:val="left"/>
      <w:pPr>
        <w:tabs>
          <w:tab w:val="num" w:pos="2145"/>
        </w:tabs>
        <w:ind w:left="2182" w:hanging="397"/>
      </w:pPr>
      <w:rPr>
        <w:rFonts w:ascii="Wingdings" w:hAnsi="Wingdings" w:hint="default"/>
        <w:color w:val="494A52"/>
        <w:sz w:val="14"/>
      </w:rPr>
    </w:lvl>
    <w:lvl w:ilvl="6">
      <w:start w:val="1"/>
      <w:numFmt w:val="bullet"/>
      <w:lvlText w:val=""/>
      <w:lvlJc w:val="left"/>
      <w:pPr>
        <w:tabs>
          <w:tab w:val="num" w:pos="2502"/>
        </w:tabs>
        <w:ind w:left="2539" w:hanging="397"/>
      </w:pPr>
      <w:rPr>
        <w:rFonts w:ascii="Wingdings" w:hAnsi="Wingdings" w:hint="default"/>
        <w:color w:val="494A52"/>
        <w:sz w:val="14"/>
      </w:rPr>
    </w:lvl>
    <w:lvl w:ilvl="7">
      <w:start w:val="1"/>
      <w:numFmt w:val="bullet"/>
      <w:lvlText w:val=""/>
      <w:lvlJc w:val="left"/>
      <w:pPr>
        <w:tabs>
          <w:tab w:val="num" w:pos="2859"/>
        </w:tabs>
        <w:ind w:left="2896" w:hanging="397"/>
      </w:pPr>
      <w:rPr>
        <w:rFonts w:ascii="Symbol" w:hAnsi="Symbol" w:hint="default"/>
        <w:color w:val="494A52"/>
      </w:rPr>
    </w:lvl>
    <w:lvl w:ilvl="8">
      <w:start w:val="1"/>
      <w:numFmt w:val="bullet"/>
      <w:lvlText w:val=""/>
      <w:lvlJc w:val="left"/>
      <w:pPr>
        <w:tabs>
          <w:tab w:val="num" w:pos="3216"/>
        </w:tabs>
        <w:ind w:left="3253" w:hanging="397"/>
      </w:pPr>
      <w:rPr>
        <w:rFonts w:ascii="Symbol" w:hAnsi="Symbol" w:hint="default"/>
        <w:color w:val="494A52"/>
      </w:rPr>
    </w:lvl>
  </w:abstractNum>
  <w:abstractNum w:abstractNumId="10" w15:restartNumberingAfterBreak="0">
    <w:nsid w:val="52B47E0B"/>
    <w:multiLevelType w:val="hybridMultilevel"/>
    <w:tmpl w:val="174AB4BE"/>
    <w:lvl w:ilvl="0" w:tplc="444208E2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04070"/>
    <w:multiLevelType w:val="hybridMultilevel"/>
    <w:tmpl w:val="F4C82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91991"/>
    <w:multiLevelType w:val="hybridMultilevel"/>
    <w:tmpl w:val="26B4100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2884AAF"/>
    <w:multiLevelType w:val="hybridMultilevel"/>
    <w:tmpl w:val="AAF4B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7055"/>
    <w:multiLevelType w:val="multilevel"/>
    <w:tmpl w:val="9B50CBB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A660644"/>
    <w:multiLevelType w:val="hybridMultilevel"/>
    <w:tmpl w:val="A2342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0FE6A">
      <w:start w:val="1"/>
      <w:numFmt w:val="bullet"/>
      <w:pStyle w:val="Bezmezer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979DB"/>
    <w:multiLevelType w:val="hybridMultilevel"/>
    <w:tmpl w:val="44F027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5">
    <w:abstractNumId w:val="14"/>
  </w:num>
  <w:num w:numId="6">
    <w:abstractNumId w:val="16"/>
  </w:num>
  <w:num w:numId="7">
    <w:abstractNumId w:val="6"/>
    <w:lvlOverride w:ilvl="0">
      <w:startOverride w:val="13"/>
      <w:lvl w:ilvl="0">
        <w:start w:val="13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2"/>
      <w:lvl w:ilvl="1">
        <w:start w:val="12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8">
    <w:abstractNumId w:val="2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13"/>
  </w:num>
  <w:num w:numId="14">
    <w:abstractNumId w:val="1"/>
  </w:num>
  <w:num w:numId="15">
    <w:abstractNumId w:val="15"/>
  </w:num>
  <w:num w:numId="16">
    <w:abstractNumId w:val="1"/>
  </w:num>
  <w:num w:numId="17">
    <w:abstractNumId w:val="5"/>
  </w:num>
  <w:num w:numId="18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9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4"/>
  </w:num>
  <w:num w:numId="21">
    <w:abstractNumId w:val="9"/>
  </w:num>
  <w:num w:numId="22">
    <w:abstractNumId w:val="4"/>
  </w:num>
  <w:num w:numId="23">
    <w:abstractNumId w:val="7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1D"/>
    <w:rsid w:val="00000F11"/>
    <w:rsid w:val="0003753F"/>
    <w:rsid w:val="000A2CC9"/>
    <w:rsid w:val="00196BBC"/>
    <w:rsid w:val="001F20F8"/>
    <w:rsid w:val="0022788D"/>
    <w:rsid w:val="00261CB2"/>
    <w:rsid w:val="00266141"/>
    <w:rsid w:val="00300C0A"/>
    <w:rsid w:val="00324A42"/>
    <w:rsid w:val="003703CF"/>
    <w:rsid w:val="003C6E14"/>
    <w:rsid w:val="003E3F21"/>
    <w:rsid w:val="00451FF3"/>
    <w:rsid w:val="004C6BB0"/>
    <w:rsid w:val="005447ED"/>
    <w:rsid w:val="005C7AEB"/>
    <w:rsid w:val="0064756A"/>
    <w:rsid w:val="006E10B2"/>
    <w:rsid w:val="006F216E"/>
    <w:rsid w:val="007313A2"/>
    <w:rsid w:val="007C4CAD"/>
    <w:rsid w:val="007E4E08"/>
    <w:rsid w:val="00831CC5"/>
    <w:rsid w:val="008B3ED6"/>
    <w:rsid w:val="008F3DF6"/>
    <w:rsid w:val="00905C79"/>
    <w:rsid w:val="00946336"/>
    <w:rsid w:val="00947E78"/>
    <w:rsid w:val="009A3335"/>
    <w:rsid w:val="009C21CA"/>
    <w:rsid w:val="009C3BCE"/>
    <w:rsid w:val="00A370DF"/>
    <w:rsid w:val="00A416DC"/>
    <w:rsid w:val="00AC2B1D"/>
    <w:rsid w:val="00AE2F86"/>
    <w:rsid w:val="00B86979"/>
    <w:rsid w:val="00BA4819"/>
    <w:rsid w:val="00BF7E55"/>
    <w:rsid w:val="00C953AF"/>
    <w:rsid w:val="00C97ACA"/>
    <w:rsid w:val="00D30804"/>
    <w:rsid w:val="00D91E13"/>
    <w:rsid w:val="00DD0D76"/>
    <w:rsid w:val="00E433A3"/>
    <w:rsid w:val="00E64BB6"/>
    <w:rsid w:val="00F26DC6"/>
    <w:rsid w:val="00F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9FA5"/>
  <w15:chartTrackingRefBased/>
  <w15:docId w15:val="{6E39137D-718C-450B-BC22-7F25885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4C6BB0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A2CC9"/>
    <w:pPr>
      <w:numPr>
        <w:numId w:val="11"/>
      </w:numPr>
      <w:spacing w:after="200" w:line="276" w:lineRule="auto"/>
      <w:outlineLvl w:val="0"/>
    </w:pPr>
    <w:rPr>
      <w:rFonts w:cs="Arial"/>
      <w:b/>
      <w:sz w:val="36"/>
    </w:rPr>
  </w:style>
  <w:style w:type="paragraph" w:styleId="Nadpis8">
    <w:name w:val="heading 8"/>
    <w:basedOn w:val="Normln"/>
    <w:next w:val="Normln"/>
    <w:link w:val="Nadpis8Char"/>
    <w:uiPriority w:val="21"/>
    <w:semiHidden/>
    <w:unhideWhenUsed/>
    <w:qFormat/>
    <w:rsid w:val="003E3F21"/>
    <w:pPr>
      <w:keepNext/>
      <w:keepLines/>
      <w:spacing w:before="40"/>
      <w:outlineLvl w:val="7"/>
    </w:pPr>
    <w:rPr>
      <w:rFonts w:eastAsia="Times New Roman"/>
      <w:b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Number-ContractCzechRadio">
    <w:name w:val="List Number - Contract (Czech Radio)"/>
    <w:basedOn w:val="Normln"/>
    <w:uiPriority w:val="13"/>
    <w:qFormat/>
    <w:rsid w:val="00AC2B1D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AC2B1D"/>
    <w:pPr>
      <w:numPr>
        <w:ilvl w:val="2"/>
        <w:numId w:val="2"/>
      </w:numPr>
      <w:spacing w:after="250"/>
      <w:jc w:val="both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AC2B1D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AC2B1D"/>
    <w:pPr>
      <w:numPr>
        <w:numId w:val="1"/>
      </w:numPr>
    </w:pPr>
  </w:style>
  <w:style w:type="paragraph" w:customStyle="1" w:styleId="Default">
    <w:name w:val="Default"/>
    <w:rsid w:val="005C7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A2CC9"/>
    <w:rPr>
      <w:rFonts w:ascii="Arial" w:hAnsi="Arial" w:cs="Arial"/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0A2CC9"/>
    <w:rPr>
      <w:color w:val="0563C1" w:themeColor="hyperlink"/>
      <w:u w:val="single"/>
    </w:rPr>
  </w:style>
  <w:style w:type="paragraph" w:customStyle="1" w:styleId="Nadpis2">
    <w:name w:val="Nadpis2"/>
    <w:basedOn w:val="Nadpis1"/>
    <w:link w:val="Nadpis2Char"/>
    <w:qFormat/>
    <w:rsid w:val="000A2CC9"/>
    <w:pPr>
      <w:numPr>
        <w:ilvl w:val="1"/>
      </w:numPr>
    </w:pPr>
    <w:rPr>
      <w:sz w:val="24"/>
      <w:szCs w:val="24"/>
    </w:rPr>
  </w:style>
  <w:style w:type="character" w:customStyle="1" w:styleId="Nadpis2Char">
    <w:name w:val="Nadpis2 Char"/>
    <w:basedOn w:val="Nadpis1Char"/>
    <w:link w:val="Nadpis2"/>
    <w:rsid w:val="000A2CC9"/>
    <w:rPr>
      <w:rFonts w:ascii="Arial" w:hAnsi="Arial" w:cs="Arial"/>
      <w:b/>
      <w:sz w:val="24"/>
      <w:szCs w:val="24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0A2CC9"/>
    <w:rPr>
      <w:b/>
      <w:color w:val="000F37"/>
    </w:rPr>
  </w:style>
  <w:style w:type="paragraph" w:styleId="Odstavecseseznamem">
    <w:name w:val="List Paragraph"/>
    <w:basedOn w:val="Normln"/>
    <w:uiPriority w:val="34"/>
    <w:qFormat/>
    <w:rsid w:val="000A2CC9"/>
    <w:pPr>
      <w:ind w:left="720"/>
      <w:contextualSpacing/>
    </w:pPr>
  </w:style>
  <w:style w:type="paragraph" w:styleId="Bezmezer">
    <w:name w:val="No Spacing"/>
    <w:aliases w:val="Odrazky bez mezer"/>
    <w:autoRedefine/>
    <w:uiPriority w:val="1"/>
    <w:qFormat/>
    <w:rsid w:val="0064756A"/>
    <w:pPr>
      <w:numPr>
        <w:ilvl w:val="1"/>
        <w:numId w:val="15"/>
      </w:numPr>
      <w:spacing w:after="0" w:line="240" w:lineRule="auto"/>
    </w:pPr>
    <w:rPr>
      <w:rFonts w:ascii="Arial" w:hAnsi="Arial" w:cs="Arial"/>
      <w:sz w:val="20"/>
    </w:rPr>
  </w:style>
  <w:style w:type="paragraph" w:styleId="Zkladntext">
    <w:name w:val="Body Text"/>
    <w:basedOn w:val="Normln"/>
    <w:link w:val="ZkladntextChar"/>
    <w:qFormat/>
    <w:rsid w:val="00324A42"/>
    <w:pPr>
      <w:spacing w:before="120" w:line="348" w:lineRule="auto"/>
    </w:pPr>
    <w:rPr>
      <w:rFonts w:eastAsia="Times New Roman"/>
      <w:color w:val="414141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4A42"/>
    <w:rPr>
      <w:rFonts w:ascii="Arial" w:eastAsia="Times New Roman" w:hAnsi="Arial" w:cs="Times New Roman"/>
      <w:color w:val="414141"/>
      <w:sz w:val="20"/>
      <w:szCs w:val="18"/>
      <w:lang w:eastAsia="cs-CZ"/>
    </w:rPr>
  </w:style>
  <w:style w:type="character" w:customStyle="1" w:styleId="Nadpis8Char">
    <w:name w:val="Nadpis 8 Char"/>
    <w:link w:val="Nadpis8"/>
    <w:uiPriority w:val="21"/>
    <w:semiHidden/>
    <w:rsid w:val="003E3F21"/>
    <w:rPr>
      <w:rFonts w:ascii="Arial" w:eastAsia="Times New Roman" w:hAnsi="Arial"/>
      <w:b/>
      <w:color w:val="519FD7"/>
      <w:szCs w:val="21"/>
      <w:lang w:eastAsia="en-US"/>
    </w:rPr>
  </w:style>
  <w:style w:type="character" w:customStyle="1" w:styleId="Nadpis8Char1">
    <w:name w:val="Nadpis 8 Char1"/>
    <w:basedOn w:val="Standardnpsmoodstavce"/>
    <w:uiPriority w:val="9"/>
    <w:semiHidden/>
    <w:rsid w:val="003E3F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7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77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4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7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7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ynek.javornicky@rozhlas.cz" TargetMode="External"/><Relationship Id="rId5" Type="http://schemas.openxmlformats.org/officeDocument/2006/relationships/hyperlink" Target="mailto:support+aplikace@boldbri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 Martin</dc:creator>
  <cp:keywords/>
  <dc:description/>
  <cp:lastModifiedBy>Lázničková Marcela</cp:lastModifiedBy>
  <cp:revision>23</cp:revision>
  <dcterms:created xsi:type="dcterms:W3CDTF">2020-08-14T11:07:00Z</dcterms:created>
  <dcterms:modified xsi:type="dcterms:W3CDTF">2024-06-25T18:44:00Z</dcterms:modified>
</cp:coreProperties>
</file>