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20ECF76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7BCFFC5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E309FA">
        <w:rPr>
          <w:b/>
          <w:sz w:val="22"/>
          <w:szCs w:val="22"/>
        </w:rPr>
        <w:t>Konzultační podpora – implementace ESG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01F3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309FA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3597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980C-94A8-4ABF-93F6-9D683DE5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2024-07-02T15:15:00Z</dcterms:modified>
</cp:coreProperties>
</file>