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49A7A" w14:textId="7FAAC732" w:rsidR="00D73751" w:rsidRPr="00CF1176" w:rsidRDefault="00CF1176" w:rsidP="00310BA4">
      <w:pPr>
        <w:spacing w:after="0"/>
        <w:rPr>
          <w:i/>
          <w:szCs w:val="22"/>
        </w:rPr>
      </w:pPr>
      <w:r w:rsidRPr="00CF1176">
        <w:rPr>
          <w:i/>
          <w:szCs w:val="22"/>
        </w:rPr>
        <w:t>Příloha č. 2 zadávací dokumentace – Smlouva o poskytování poradenské činnosti</w:t>
      </w:r>
    </w:p>
    <w:p w14:paraId="12071057" w14:textId="77777777" w:rsidR="003B6BDF" w:rsidRDefault="003B6BDF" w:rsidP="00310BA4">
      <w:pPr>
        <w:spacing w:after="0"/>
        <w:rPr>
          <w:szCs w:val="22"/>
        </w:rPr>
      </w:pPr>
    </w:p>
    <w:p w14:paraId="340AA12A" w14:textId="77777777" w:rsidR="003B6BDF" w:rsidRPr="003B6BDF" w:rsidRDefault="003B6BDF" w:rsidP="003B6BD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6BDF">
        <w:rPr>
          <w:rFonts w:ascii="Arial" w:hAnsi="Arial" w:cs="Arial"/>
          <w:b/>
          <w:bCs/>
          <w:sz w:val="28"/>
          <w:szCs w:val="28"/>
        </w:rPr>
        <w:t>Smlouva o poskytování poradenské činnosti</w:t>
      </w:r>
    </w:p>
    <w:p w14:paraId="16D58DA5" w14:textId="77777777" w:rsidR="003B6BDF" w:rsidRPr="003B6BDF" w:rsidRDefault="003B6BDF" w:rsidP="003B6BDF">
      <w:pPr>
        <w:spacing w:after="0"/>
        <w:rPr>
          <w:rFonts w:ascii="Arial" w:hAnsi="Arial" w:cs="Arial"/>
          <w:bCs/>
          <w:sz w:val="21"/>
          <w:szCs w:val="21"/>
        </w:rPr>
      </w:pPr>
    </w:p>
    <w:p w14:paraId="74BFAEB3" w14:textId="617FDDE0" w:rsidR="00154272" w:rsidRPr="00AA1454" w:rsidRDefault="00154272" w:rsidP="00154272">
      <w:pPr>
        <w:pBdr>
          <w:top w:val="single" w:sz="6" w:space="11" w:color="auto"/>
          <w:bottom w:val="single" w:sz="6" w:space="11" w:color="auto"/>
        </w:pBdr>
        <w:spacing w:before="240" w:after="60"/>
        <w:jc w:val="center"/>
        <w:rPr>
          <w:rFonts w:ascii="Calibri" w:hAnsi="Calibri" w:cs="Calibri"/>
          <w:color w:val="0D0D0D"/>
          <w:sz w:val="28"/>
          <w:szCs w:val="28"/>
        </w:rPr>
      </w:pPr>
      <w:r>
        <w:rPr>
          <w:rFonts w:ascii="Calibri" w:hAnsi="Calibri" w:cs="Calibri"/>
          <w:color w:val="0D0D0D"/>
          <w:sz w:val="28"/>
          <w:szCs w:val="28"/>
        </w:rPr>
        <w:t>Ev. číslo smlouvy Objednatele: DOD2024</w:t>
      </w:r>
      <w:r w:rsidR="006F1C06">
        <w:rPr>
          <w:rFonts w:ascii="Calibri" w:hAnsi="Calibri" w:cs="Calibri"/>
          <w:color w:val="0D0D0D"/>
          <w:sz w:val="28"/>
          <w:szCs w:val="28"/>
        </w:rPr>
        <w:t>1260</w:t>
      </w:r>
    </w:p>
    <w:p w14:paraId="19A7AE10" w14:textId="77777777" w:rsidR="003B6BDF" w:rsidRPr="003B6BDF" w:rsidRDefault="003B6BDF" w:rsidP="003B6BDF">
      <w:pPr>
        <w:spacing w:after="0"/>
        <w:rPr>
          <w:rFonts w:ascii="Arial" w:hAnsi="Arial" w:cs="Arial"/>
          <w:szCs w:val="22"/>
        </w:rPr>
      </w:pPr>
    </w:p>
    <w:p w14:paraId="50CD5B5A" w14:textId="77777777" w:rsidR="003B6BDF" w:rsidRPr="003B6BDF" w:rsidRDefault="003B6BDF" w:rsidP="003B6BDF">
      <w:pPr>
        <w:spacing w:after="0"/>
        <w:rPr>
          <w:rFonts w:ascii="Arial" w:hAnsi="Arial" w:cs="Arial"/>
          <w:szCs w:val="22"/>
        </w:rPr>
      </w:pPr>
    </w:p>
    <w:p w14:paraId="713666BB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b/>
          <w:szCs w:val="22"/>
        </w:rPr>
      </w:pPr>
      <w:r w:rsidRPr="003B6BDF">
        <w:rPr>
          <w:rFonts w:ascii="Arial" w:hAnsi="Arial" w:cs="Arial"/>
          <w:b/>
          <w:szCs w:val="22"/>
        </w:rPr>
        <w:t>Dopravní podnik Ostrava a. s.</w:t>
      </w:r>
    </w:p>
    <w:p w14:paraId="4F10085F" w14:textId="77777777" w:rsid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>Poděbradova 494/2, Moravská Ostrava, 702 00 Ostrava</w:t>
      </w:r>
    </w:p>
    <w:p w14:paraId="351E08D7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 </w:t>
      </w:r>
      <w:r w:rsidRPr="003B6BDF">
        <w:rPr>
          <w:rFonts w:ascii="Arial" w:hAnsi="Arial" w:cs="Arial"/>
          <w:szCs w:val="22"/>
        </w:rPr>
        <w:t>61974757</w:t>
      </w:r>
      <w:r>
        <w:rPr>
          <w:rFonts w:ascii="Arial" w:hAnsi="Arial" w:cs="Arial"/>
          <w:szCs w:val="22"/>
        </w:rPr>
        <w:t xml:space="preserve">, DIČ </w:t>
      </w:r>
      <w:r w:rsidRPr="003B6BDF">
        <w:rPr>
          <w:rFonts w:ascii="Arial" w:hAnsi="Arial" w:cs="Arial"/>
          <w:szCs w:val="22"/>
        </w:rPr>
        <w:t>CZ61974757</w:t>
      </w:r>
      <w:r w:rsidRPr="003B6BDF">
        <w:rPr>
          <w:rFonts w:ascii="Arial" w:hAnsi="Arial" w:cs="Arial"/>
          <w:szCs w:val="22"/>
        </w:rPr>
        <w:tab/>
      </w:r>
    </w:p>
    <w:p w14:paraId="5C460243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zapsána </w:t>
      </w:r>
      <w:r w:rsidRPr="003B6BDF">
        <w:rPr>
          <w:rFonts w:ascii="Arial" w:hAnsi="Arial" w:cs="Arial"/>
          <w:szCs w:val="22"/>
        </w:rPr>
        <w:t xml:space="preserve">v Obchodním rejstříku Krajského soudu v Ostravě, </w:t>
      </w:r>
      <w:proofErr w:type="spellStart"/>
      <w:r w:rsidRPr="003B6BDF">
        <w:rPr>
          <w:rFonts w:ascii="Arial" w:hAnsi="Arial" w:cs="Arial"/>
          <w:szCs w:val="22"/>
        </w:rPr>
        <w:t>sp</w:t>
      </w:r>
      <w:proofErr w:type="spellEnd"/>
      <w:r w:rsidRPr="003B6BDF">
        <w:rPr>
          <w:rFonts w:ascii="Arial" w:hAnsi="Arial" w:cs="Arial"/>
          <w:szCs w:val="22"/>
        </w:rPr>
        <w:t xml:space="preserve">. zn. B 1104 </w:t>
      </w:r>
    </w:p>
    <w:p w14:paraId="04D19C3C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zastoupen: </w:t>
      </w: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78635FBE" w14:textId="3D8B1214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proofErr w:type="spellStart"/>
      <w:r>
        <w:rPr>
          <w:rFonts w:ascii="Arial" w:hAnsi="Arial" w:cs="Arial"/>
          <w:szCs w:val="22"/>
        </w:rPr>
        <w:t>UniCredit</w:t>
      </w:r>
      <w:proofErr w:type="spellEnd"/>
      <w:r>
        <w:rPr>
          <w:rFonts w:ascii="Arial" w:hAnsi="Arial" w:cs="Arial"/>
          <w:szCs w:val="22"/>
        </w:rPr>
        <w:t xml:space="preserve"> Bank a.s., </w:t>
      </w:r>
      <w:r w:rsidRPr="003B6BDF">
        <w:rPr>
          <w:rFonts w:ascii="Arial" w:hAnsi="Arial" w:cs="Arial"/>
          <w:szCs w:val="22"/>
        </w:rPr>
        <w:t xml:space="preserve">číslo účtu: </w:t>
      </w:r>
      <w:r w:rsidR="0066750B">
        <w:rPr>
          <w:rFonts w:ascii="Arial" w:hAnsi="Arial" w:cs="Arial"/>
          <w:szCs w:val="22"/>
        </w:rPr>
        <w:t>2105677586/270</w:t>
      </w:r>
      <w:r w:rsidR="001871C0">
        <w:rPr>
          <w:rFonts w:ascii="Arial" w:hAnsi="Arial" w:cs="Arial"/>
          <w:szCs w:val="22"/>
        </w:rPr>
        <w:t>0</w:t>
      </w:r>
    </w:p>
    <w:p w14:paraId="175CF3D6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</w:p>
    <w:p w14:paraId="64031D4D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(dále jen </w:t>
      </w:r>
      <w:r>
        <w:rPr>
          <w:rFonts w:ascii="Arial" w:hAnsi="Arial" w:cs="Arial"/>
          <w:szCs w:val="22"/>
        </w:rPr>
        <w:t>„</w:t>
      </w:r>
      <w:r w:rsidRPr="003B6BDF">
        <w:rPr>
          <w:rFonts w:ascii="Arial" w:hAnsi="Arial" w:cs="Arial"/>
          <w:szCs w:val="22"/>
        </w:rPr>
        <w:t>Objednatel</w:t>
      </w:r>
      <w:r>
        <w:rPr>
          <w:rFonts w:ascii="Arial" w:hAnsi="Arial" w:cs="Arial"/>
          <w:szCs w:val="22"/>
        </w:rPr>
        <w:t>“</w:t>
      </w:r>
      <w:r w:rsidRPr="003B6BDF">
        <w:rPr>
          <w:rFonts w:ascii="Arial" w:hAnsi="Arial" w:cs="Arial"/>
          <w:szCs w:val="22"/>
        </w:rPr>
        <w:t xml:space="preserve">) </w:t>
      </w:r>
    </w:p>
    <w:p w14:paraId="6687F487" w14:textId="77777777" w:rsidR="003B6BDF" w:rsidRPr="003B6BDF" w:rsidRDefault="003B6BDF" w:rsidP="003B6BDF">
      <w:pPr>
        <w:tabs>
          <w:tab w:val="left" w:pos="425"/>
        </w:tabs>
        <w:spacing w:after="0"/>
        <w:jc w:val="center"/>
        <w:rPr>
          <w:rFonts w:ascii="Arial" w:hAnsi="Arial" w:cs="Arial"/>
          <w:b/>
          <w:bCs/>
          <w:spacing w:val="40"/>
          <w:szCs w:val="22"/>
        </w:rPr>
      </w:pPr>
    </w:p>
    <w:p w14:paraId="08BCCBEB" w14:textId="77777777" w:rsidR="003B6BDF" w:rsidRPr="003B6BDF" w:rsidRDefault="003B6BDF" w:rsidP="003B6BDF">
      <w:pPr>
        <w:tabs>
          <w:tab w:val="left" w:pos="425"/>
        </w:tabs>
        <w:spacing w:after="0"/>
        <w:jc w:val="center"/>
        <w:rPr>
          <w:rFonts w:ascii="Arial" w:hAnsi="Arial" w:cs="Arial"/>
          <w:bCs/>
          <w:spacing w:val="40"/>
          <w:szCs w:val="22"/>
        </w:rPr>
      </w:pPr>
      <w:r w:rsidRPr="003B6BDF">
        <w:rPr>
          <w:rFonts w:ascii="Arial" w:hAnsi="Arial" w:cs="Arial"/>
          <w:bCs/>
          <w:spacing w:val="40"/>
          <w:szCs w:val="22"/>
        </w:rPr>
        <w:t>a</w:t>
      </w:r>
    </w:p>
    <w:p w14:paraId="4DE7A6ED" w14:textId="6890B6E9" w:rsidR="003B6BDF" w:rsidRPr="003B6BDF" w:rsidRDefault="00B4460E" w:rsidP="00B4460E">
      <w:pPr>
        <w:tabs>
          <w:tab w:val="left" w:pos="3645"/>
        </w:tabs>
        <w:spacing w:after="0"/>
        <w:rPr>
          <w:rFonts w:ascii="Arial" w:hAnsi="Arial" w:cs="Arial"/>
          <w:bCs/>
          <w:spacing w:val="40"/>
          <w:szCs w:val="22"/>
        </w:rPr>
      </w:pPr>
      <w:r>
        <w:rPr>
          <w:rFonts w:ascii="Arial" w:hAnsi="Arial" w:cs="Arial"/>
          <w:bCs/>
          <w:spacing w:val="40"/>
          <w:szCs w:val="22"/>
        </w:rPr>
        <w:tab/>
      </w:r>
    </w:p>
    <w:p w14:paraId="4AFBA08C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>společnost: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324AFB85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se sídlem: 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019FDCEF" w14:textId="77777777" w:rsid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>DIČ:</w:t>
      </w:r>
    </w:p>
    <w:p w14:paraId="6CEB7877" w14:textId="77777777" w:rsid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zapsána: </w:t>
      </w:r>
    </w:p>
    <w:p w14:paraId="20795D8D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</w:t>
      </w:r>
      <w:r w:rsidRPr="003B6BDF">
        <w:rPr>
          <w:rFonts w:ascii="Arial" w:hAnsi="Arial" w:cs="Arial"/>
          <w:szCs w:val="22"/>
        </w:rPr>
        <w:t>: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6B06B406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</w:t>
      </w:r>
      <w:proofErr w:type="gramStart"/>
      <w:r>
        <w:rPr>
          <w:rFonts w:ascii="Arial" w:hAnsi="Arial" w:cs="Arial"/>
          <w:szCs w:val="22"/>
        </w:rPr>
        <w:t>spojení:, číslo</w:t>
      </w:r>
      <w:proofErr w:type="gramEnd"/>
      <w:r>
        <w:rPr>
          <w:rFonts w:ascii="Arial" w:hAnsi="Arial" w:cs="Arial"/>
          <w:szCs w:val="22"/>
        </w:rPr>
        <w:t xml:space="preserve"> účtu: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7B354728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45F7C8D6" w14:textId="7CA6D7DE" w:rsidR="003B6BDF" w:rsidRDefault="003B6BDF" w:rsidP="003B6BDF">
      <w:pPr>
        <w:tabs>
          <w:tab w:val="left" w:pos="425"/>
        </w:tabs>
        <w:spacing w:after="0"/>
        <w:rPr>
          <w:rFonts w:ascii="Arial" w:eastAsiaTheme="minorHAnsi" w:hAnsi="Arial" w:cs="Arial"/>
          <w:szCs w:val="22"/>
          <w:lang w:eastAsia="en-US"/>
        </w:rPr>
      </w:pPr>
      <w:r w:rsidRPr="003B6BDF">
        <w:rPr>
          <w:rFonts w:ascii="Arial" w:hAnsi="Arial" w:cs="Arial"/>
          <w:szCs w:val="22"/>
        </w:rPr>
        <w:t xml:space="preserve">(dále jen </w:t>
      </w:r>
      <w:r>
        <w:rPr>
          <w:rFonts w:ascii="Arial" w:hAnsi="Arial" w:cs="Arial"/>
          <w:szCs w:val="22"/>
        </w:rPr>
        <w:t>„</w:t>
      </w:r>
      <w:r w:rsidR="0081376B">
        <w:rPr>
          <w:rFonts w:ascii="Arial" w:hAnsi="Arial" w:cs="Arial"/>
          <w:szCs w:val="22"/>
        </w:rPr>
        <w:t>Poradce</w:t>
      </w:r>
      <w:r>
        <w:rPr>
          <w:rFonts w:ascii="Arial" w:hAnsi="Arial" w:cs="Arial"/>
          <w:szCs w:val="22"/>
        </w:rPr>
        <w:t>“</w:t>
      </w:r>
      <w:r w:rsidRPr="003B6BDF">
        <w:rPr>
          <w:rFonts w:ascii="Arial" w:hAnsi="Arial" w:cs="Arial"/>
          <w:szCs w:val="22"/>
        </w:rPr>
        <w:t>)</w:t>
      </w:r>
      <w:r w:rsidRPr="003B6BDF">
        <w:rPr>
          <w:rFonts w:ascii="Arial" w:eastAsiaTheme="minorHAnsi" w:hAnsi="Arial" w:cs="Arial"/>
          <w:szCs w:val="22"/>
          <w:lang w:eastAsia="en-US"/>
        </w:rPr>
        <w:t xml:space="preserve"> </w:t>
      </w:r>
    </w:p>
    <w:p w14:paraId="4DE08498" w14:textId="77777777" w:rsidR="003B6BDF" w:rsidRPr="003B6BDF" w:rsidRDefault="003B6BDF" w:rsidP="003B6BDF">
      <w:pPr>
        <w:tabs>
          <w:tab w:val="left" w:pos="432"/>
        </w:tabs>
        <w:spacing w:after="0"/>
        <w:rPr>
          <w:rFonts w:ascii="Arial" w:hAnsi="Arial" w:cs="Arial"/>
          <w:szCs w:val="22"/>
        </w:rPr>
      </w:pPr>
    </w:p>
    <w:p w14:paraId="394BA6AB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b/>
          <w:bCs/>
          <w:spacing w:val="40"/>
          <w:szCs w:val="22"/>
        </w:rPr>
      </w:pPr>
    </w:p>
    <w:p w14:paraId="2645B3BB" w14:textId="46BE43A5" w:rsidR="003B6BDF" w:rsidRPr="003B6BDF" w:rsidRDefault="001871C0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3B6BDF" w:rsidRPr="003B6BDF">
        <w:rPr>
          <w:rFonts w:ascii="Arial" w:hAnsi="Arial" w:cs="Arial"/>
          <w:szCs w:val="22"/>
        </w:rPr>
        <w:t xml:space="preserve"> a Objednatel (dále společně jen “Smluvní strany“) uzavírají tuto Smlouvu o poskytování</w:t>
      </w:r>
      <w:r w:rsidR="003B6BDF">
        <w:rPr>
          <w:rFonts w:ascii="Arial" w:hAnsi="Arial" w:cs="Arial"/>
          <w:szCs w:val="22"/>
        </w:rPr>
        <w:t xml:space="preserve"> poradenské </w:t>
      </w:r>
      <w:r w:rsidR="003B6BDF" w:rsidRPr="003B6BDF">
        <w:rPr>
          <w:rFonts w:ascii="Arial" w:hAnsi="Arial" w:cs="Arial"/>
          <w:szCs w:val="22"/>
        </w:rPr>
        <w:t xml:space="preserve">činnosti (dále jen “Smlouva“) ve smyslu ustanovení § 1 746 odst. 2. </w:t>
      </w:r>
      <w:r w:rsidR="003B6BDF">
        <w:rPr>
          <w:rFonts w:ascii="Arial" w:hAnsi="Arial" w:cs="Arial"/>
          <w:szCs w:val="22"/>
        </w:rPr>
        <w:t xml:space="preserve">zákona č. 89/2012 Sb., občanský </w:t>
      </w:r>
      <w:r w:rsidR="003B6BDF" w:rsidRPr="003B6BDF">
        <w:rPr>
          <w:rFonts w:ascii="Arial" w:hAnsi="Arial" w:cs="Arial"/>
          <w:szCs w:val="22"/>
        </w:rPr>
        <w:t>zákoník, ve znění pozdějších předpisů (dále jen “Občanský zákoník“).</w:t>
      </w:r>
      <w:r w:rsidR="00441354">
        <w:rPr>
          <w:rFonts w:ascii="Arial" w:hAnsi="Arial" w:cs="Arial"/>
          <w:szCs w:val="22"/>
        </w:rPr>
        <w:t xml:space="preserve"> Tato Smlouva je uzavřena na základě výsledku poptávkového řízení k veřejné zakázce vedené </w:t>
      </w:r>
      <w:r w:rsidR="007E4EA5">
        <w:rPr>
          <w:rFonts w:ascii="Arial" w:hAnsi="Arial" w:cs="Arial"/>
          <w:szCs w:val="22"/>
        </w:rPr>
        <w:t xml:space="preserve">pod </w:t>
      </w:r>
      <w:r w:rsidR="00441354">
        <w:rPr>
          <w:rFonts w:ascii="Arial" w:hAnsi="Arial" w:cs="Arial"/>
          <w:szCs w:val="22"/>
        </w:rPr>
        <w:t xml:space="preserve">názvem </w:t>
      </w:r>
      <w:r w:rsidR="00441354" w:rsidRPr="00A8776D">
        <w:rPr>
          <w:rFonts w:ascii="Arial" w:hAnsi="Arial" w:cs="Arial"/>
          <w:b/>
          <w:szCs w:val="22"/>
        </w:rPr>
        <w:t>„Konzultační podpora – implementace ESG“</w:t>
      </w:r>
      <w:r w:rsidR="001040A4">
        <w:rPr>
          <w:rFonts w:ascii="Arial" w:hAnsi="Arial" w:cs="Arial"/>
          <w:b/>
          <w:szCs w:val="22"/>
        </w:rPr>
        <w:t xml:space="preserve">, </w:t>
      </w:r>
      <w:r w:rsidR="001040A4" w:rsidRPr="00A8776D">
        <w:rPr>
          <w:rFonts w:ascii="Arial" w:hAnsi="Arial" w:cs="Arial"/>
          <w:szCs w:val="22"/>
        </w:rPr>
        <w:t>ev. číslo veřejné zakázky SVZ-72-24-PŘ-Ja.</w:t>
      </w:r>
    </w:p>
    <w:p w14:paraId="5B0CDCF5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b/>
          <w:bCs/>
          <w:spacing w:val="40"/>
          <w:szCs w:val="22"/>
        </w:rPr>
      </w:pPr>
    </w:p>
    <w:p w14:paraId="17857C8C" w14:textId="77777777" w:rsidR="003B6BDF" w:rsidRPr="00D82A8B" w:rsidRDefault="003B6BDF" w:rsidP="00A11C1E">
      <w:pPr>
        <w:pStyle w:val="Odstavecseseznamem"/>
        <w:numPr>
          <w:ilvl w:val="0"/>
          <w:numId w:val="6"/>
        </w:numPr>
        <w:spacing w:after="0"/>
        <w:jc w:val="center"/>
        <w:rPr>
          <w:rFonts w:ascii="Arial" w:hAnsi="Arial" w:cs="Arial"/>
          <w:b/>
          <w:szCs w:val="22"/>
        </w:rPr>
      </w:pPr>
      <w:r w:rsidRPr="00D82A8B">
        <w:rPr>
          <w:rFonts w:ascii="Arial" w:hAnsi="Arial" w:cs="Arial"/>
          <w:b/>
          <w:szCs w:val="22"/>
        </w:rPr>
        <w:t>Předmět smlouvy</w:t>
      </w:r>
    </w:p>
    <w:p w14:paraId="7707BCA8" w14:textId="77777777" w:rsidR="00D82A8B" w:rsidRPr="00D82A8B" w:rsidRDefault="00D82A8B" w:rsidP="00D82A8B">
      <w:pPr>
        <w:spacing w:after="0"/>
        <w:ind w:left="360"/>
        <w:rPr>
          <w:rFonts w:ascii="Arial" w:hAnsi="Arial" w:cs="Arial"/>
          <w:b/>
          <w:szCs w:val="22"/>
        </w:rPr>
      </w:pPr>
    </w:p>
    <w:p w14:paraId="7EDD62E7" w14:textId="069E5FE7" w:rsidR="003B6BDF" w:rsidRPr="003B6BDF" w:rsidRDefault="001871C0" w:rsidP="00FE6555">
      <w:pPr>
        <w:pStyle w:val="Odstavecseseznamem"/>
        <w:numPr>
          <w:ilvl w:val="0"/>
          <w:numId w:val="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D82A8B">
        <w:rPr>
          <w:rFonts w:ascii="Arial" w:hAnsi="Arial" w:cs="Arial"/>
          <w:szCs w:val="22"/>
        </w:rPr>
        <w:t xml:space="preserve"> se zavazuje, za podmínek stanovených touto Smlouvou, vykonávat pro </w:t>
      </w:r>
      <w:r w:rsidR="00703AF7">
        <w:rPr>
          <w:rFonts w:ascii="Arial" w:hAnsi="Arial" w:cs="Arial"/>
          <w:szCs w:val="22"/>
        </w:rPr>
        <w:t>Objednatele poradenskou činnost</w:t>
      </w:r>
      <w:r w:rsidR="00D82A8B">
        <w:rPr>
          <w:rFonts w:ascii="Arial" w:hAnsi="Arial" w:cs="Arial"/>
          <w:szCs w:val="22"/>
        </w:rPr>
        <w:t xml:space="preserve"> v oblastech specifikovaných dále v čl. II. této Smlouvy.</w:t>
      </w:r>
    </w:p>
    <w:p w14:paraId="0E282B16" w14:textId="34C9E828" w:rsidR="003B6BDF" w:rsidRPr="00703AF7" w:rsidRDefault="003B6BDF" w:rsidP="00FE6555">
      <w:pPr>
        <w:pStyle w:val="Odstavecseseznamem"/>
        <w:numPr>
          <w:ilvl w:val="0"/>
          <w:numId w:val="7"/>
        </w:num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Objednatel se zavazuje za řádně a včas poskytnuté </w:t>
      </w:r>
      <w:r w:rsidR="00D82A8B">
        <w:rPr>
          <w:rFonts w:ascii="Arial" w:hAnsi="Arial" w:cs="Arial"/>
          <w:szCs w:val="22"/>
        </w:rPr>
        <w:t>poradenské</w:t>
      </w:r>
      <w:r w:rsidRPr="003B6BDF">
        <w:rPr>
          <w:rFonts w:ascii="Arial" w:hAnsi="Arial" w:cs="Arial"/>
          <w:szCs w:val="22"/>
        </w:rPr>
        <w:t xml:space="preserve"> služby </w:t>
      </w:r>
      <w:r w:rsidR="001871C0">
        <w:rPr>
          <w:rFonts w:ascii="Arial" w:hAnsi="Arial" w:cs="Arial"/>
          <w:szCs w:val="22"/>
        </w:rPr>
        <w:t>Poradc</w:t>
      </w:r>
      <w:r w:rsidR="00D82A8B">
        <w:rPr>
          <w:rFonts w:ascii="Arial" w:hAnsi="Arial" w:cs="Arial"/>
          <w:szCs w:val="22"/>
        </w:rPr>
        <w:t>em</w:t>
      </w:r>
      <w:r w:rsidR="00B262BD">
        <w:rPr>
          <w:rFonts w:ascii="Arial" w:hAnsi="Arial" w:cs="Arial"/>
          <w:szCs w:val="22"/>
        </w:rPr>
        <w:t xml:space="preserve"> dle čl. I. odst. 1. </w:t>
      </w:r>
      <w:r w:rsidRPr="003B6BDF">
        <w:rPr>
          <w:rFonts w:ascii="Arial" w:hAnsi="Arial" w:cs="Arial"/>
          <w:szCs w:val="22"/>
        </w:rPr>
        <w:t xml:space="preserve">a čl. II. této smlouvy zaplatit </w:t>
      </w:r>
      <w:r w:rsidR="001871C0">
        <w:rPr>
          <w:rFonts w:ascii="Arial" w:hAnsi="Arial" w:cs="Arial"/>
          <w:szCs w:val="22"/>
        </w:rPr>
        <w:t>Poradc</w:t>
      </w:r>
      <w:r w:rsidR="00D82A8B">
        <w:rPr>
          <w:rFonts w:ascii="Arial" w:hAnsi="Arial" w:cs="Arial"/>
          <w:szCs w:val="22"/>
        </w:rPr>
        <w:t>i odměnu</w:t>
      </w:r>
      <w:r w:rsidRPr="003B6BDF">
        <w:rPr>
          <w:rFonts w:ascii="Arial" w:hAnsi="Arial" w:cs="Arial"/>
          <w:szCs w:val="22"/>
        </w:rPr>
        <w:t>, stanovenou v článku V</w:t>
      </w:r>
      <w:r w:rsidR="00A3430B">
        <w:rPr>
          <w:rFonts w:ascii="Arial" w:hAnsi="Arial" w:cs="Arial"/>
          <w:szCs w:val="22"/>
        </w:rPr>
        <w:t>I</w:t>
      </w:r>
      <w:r w:rsidRPr="003B6BDF">
        <w:rPr>
          <w:rFonts w:ascii="Arial" w:hAnsi="Arial" w:cs="Arial"/>
          <w:szCs w:val="22"/>
        </w:rPr>
        <w:t xml:space="preserve">. této </w:t>
      </w:r>
      <w:r w:rsidR="00D82A8B">
        <w:rPr>
          <w:rFonts w:ascii="Arial" w:hAnsi="Arial" w:cs="Arial"/>
          <w:szCs w:val="22"/>
        </w:rPr>
        <w:t xml:space="preserve">Smlouvy a poskytovat </w:t>
      </w:r>
      <w:r w:rsidR="001871C0">
        <w:rPr>
          <w:rFonts w:ascii="Arial" w:hAnsi="Arial" w:cs="Arial"/>
          <w:szCs w:val="22"/>
        </w:rPr>
        <w:t>Poradc</w:t>
      </w:r>
      <w:r w:rsidR="00703AF7">
        <w:rPr>
          <w:rFonts w:ascii="Arial" w:hAnsi="Arial" w:cs="Arial"/>
          <w:szCs w:val="22"/>
        </w:rPr>
        <w:t>i součinnost</w:t>
      </w:r>
      <w:r w:rsidR="00D82A8B" w:rsidRPr="00703AF7">
        <w:rPr>
          <w:rFonts w:ascii="Arial" w:hAnsi="Arial" w:cs="Arial"/>
          <w:szCs w:val="22"/>
        </w:rPr>
        <w:t xml:space="preserve"> </w:t>
      </w:r>
      <w:r w:rsidR="00703AF7">
        <w:rPr>
          <w:rFonts w:ascii="Arial" w:hAnsi="Arial" w:cs="Arial"/>
          <w:szCs w:val="22"/>
        </w:rPr>
        <w:t>směřující k naplnění předmětu smlouvy.</w:t>
      </w:r>
    </w:p>
    <w:p w14:paraId="3609A583" w14:textId="77777777" w:rsidR="003B6BDF" w:rsidRPr="003B6BDF" w:rsidRDefault="003B6BDF" w:rsidP="003B6BDF">
      <w:pPr>
        <w:pStyle w:val="Zkladntextodsazen"/>
        <w:tabs>
          <w:tab w:val="left" w:pos="708"/>
        </w:tabs>
        <w:spacing w:line="276" w:lineRule="auto"/>
        <w:ind w:left="425" w:firstLine="0"/>
        <w:rPr>
          <w:rFonts w:ascii="Arial" w:hAnsi="Arial" w:cs="Arial"/>
          <w:sz w:val="22"/>
          <w:szCs w:val="22"/>
        </w:rPr>
      </w:pPr>
    </w:p>
    <w:p w14:paraId="2B1F671C" w14:textId="77777777" w:rsidR="00D82A8B" w:rsidRDefault="003B6BDF" w:rsidP="00703AF7">
      <w:pPr>
        <w:pStyle w:val="Odstavecseseznamem"/>
        <w:numPr>
          <w:ilvl w:val="0"/>
          <w:numId w:val="6"/>
        </w:numPr>
        <w:spacing w:after="0"/>
        <w:jc w:val="center"/>
        <w:rPr>
          <w:rFonts w:ascii="Arial" w:hAnsi="Arial" w:cs="Arial"/>
          <w:b/>
          <w:szCs w:val="22"/>
        </w:rPr>
      </w:pPr>
      <w:r w:rsidRPr="00703AF7">
        <w:rPr>
          <w:rFonts w:ascii="Arial" w:hAnsi="Arial" w:cs="Arial"/>
          <w:b/>
          <w:szCs w:val="22"/>
        </w:rPr>
        <w:t xml:space="preserve">Specifikace </w:t>
      </w:r>
      <w:r w:rsidR="00703AF7">
        <w:rPr>
          <w:rFonts w:ascii="Arial" w:hAnsi="Arial" w:cs="Arial"/>
          <w:b/>
          <w:szCs w:val="22"/>
        </w:rPr>
        <w:t xml:space="preserve">služeb </w:t>
      </w:r>
    </w:p>
    <w:p w14:paraId="6EC372D0" w14:textId="77777777" w:rsidR="00703AF7" w:rsidRPr="00703AF7" w:rsidRDefault="00703AF7" w:rsidP="00703AF7">
      <w:pPr>
        <w:pStyle w:val="Odstavecseseznamem"/>
        <w:numPr>
          <w:ilvl w:val="0"/>
          <w:numId w:val="0"/>
        </w:numPr>
        <w:spacing w:after="0"/>
        <w:ind w:left="1080"/>
        <w:rPr>
          <w:rFonts w:ascii="Arial" w:hAnsi="Arial" w:cs="Arial"/>
          <w:b/>
          <w:szCs w:val="22"/>
        </w:rPr>
      </w:pPr>
    </w:p>
    <w:p w14:paraId="5B188701" w14:textId="2A560413" w:rsidR="00CF7B8E" w:rsidRDefault="001871C0" w:rsidP="00FE6555">
      <w:pPr>
        <w:pStyle w:val="Odstavecseseznamem"/>
        <w:numPr>
          <w:ilvl w:val="0"/>
          <w:numId w:val="19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D82A8B" w:rsidRPr="00CF7B8E">
        <w:rPr>
          <w:rFonts w:ascii="Arial" w:hAnsi="Arial" w:cs="Arial"/>
          <w:szCs w:val="22"/>
        </w:rPr>
        <w:t xml:space="preserve"> se zavazuje realizovat pro Objednatele poradenskou činnost spočívající v metodickém vedení a asistenci při p</w:t>
      </w:r>
      <w:r w:rsidR="00703AF7">
        <w:rPr>
          <w:rFonts w:ascii="Arial" w:hAnsi="Arial" w:cs="Arial"/>
          <w:szCs w:val="22"/>
        </w:rPr>
        <w:t>řípravě Objednatele na plnění požadavků</w:t>
      </w:r>
      <w:r w:rsidR="00D82A8B" w:rsidRPr="00CF7B8E">
        <w:rPr>
          <w:rFonts w:ascii="Arial" w:hAnsi="Arial" w:cs="Arial"/>
          <w:szCs w:val="22"/>
        </w:rPr>
        <w:t xml:space="preserve"> „Směrnice Evropského parlamentu</w:t>
      </w:r>
      <w:r w:rsidR="002C052A">
        <w:rPr>
          <w:rFonts w:ascii="Arial" w:hAnsi="Arial" w:cs="Arial"/>
          <w:szCs w:val="22"/>
        </w:rPr>
        <w:t xml:space="preserve"> a </w:t>
      </w:r>
      <w:r w:rsidR="00D82A8B" w:rsidRPr="00CF7B8E">
        <w:rPr>
          <w:rFonts w:ascii="Arial" w:hAnsi="Arial" w:cs="Arial"/>
          <w:szCs w:val="22"/>
        </w:rPr>
        <w:t>Rady</w:t>
      </w:r>
      <w:r w:rsidR="00CF7B8E">
        <w:rPr>
          <w:rFonts w:ascii="Arial" w:hAnsi="Arial" w:cs="Arial"/>
          <w:szCs w:val="22"/>
        </w:rPr>
        <w:t xml:space="preserve"> </w:t>
      </w:r>
      <w:r w:rsidR="00D82A8B" w:rsidRPr="00CF7B8E">
        <w:rPr>
          <w:rFonts w:ascii="Arial" w:hAnsi="Arial" w:cs="Arial"/>
          <w:szCs w:val="22"/>
        </w:rPr>
        <w:t xml:space="preserve">(EU) 2022/2464“ (dále </w:t>
      </w:r>
      <w:r w:rsidR="00703AF7">
        <w:rPr>
          <w:rFonts w:ascii="Arial" w:hAnsi="Arial" w:cs="Arial"/>
          <w:szCs w:val="22"/>
        </w:rPr>
        <w:t>též</w:t>
      </w:r>
      <w:r w:rsidR="00D82A8B" w:rsidRPr="00CF7B8E">
        <w:rPr>
          <w:rFonts w:ascii="Arial" w:hAnsi="Arial" w:cs="Arial"/>
          <w:szCs w:val="22"/>
        </w:rPr>
        <w:t xml:space="preserve"> „CSRD“) v rozsahu:</w:t>
      </w:r>
    </w:p>
    <w:p w14:paraId="57000B80" w14:textId="4260425A" w:rsidR="00CF7B8E" w:rsidRPr="00CF7B8E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t>Návrh struktury a obsahu ESG reportu se zaměřením na obchodní model Objednatele</w:t>
      </w:r>
      <w:r w:rsidR="00394425">
        <w:rPr>
          <w:rFonts w:ascii="Arial" w:hAnsi="Arial" w:cs="Arial"/>
          <w:szCs w:val="22"/>
        </w:rPr>
        <w:t xml:space="preserve"> (viz příloha č. 1)</w:t>
      </w:r>
      <w:r w:rsidRPr="00CF7B8E">
        <w:rPr>
          <w:rFonts w:ascii="Arial" w:hAnsi="Arial" w:cs="Arial"/>
          <w:szCs w:val="22"/>
        </w:rPr>
        <w:t>, ESG strategie;</w:t>
      </w:r>
    </w:p>
    <w:p w14:paraId="37C61B0C" w14:textId="77777777" w:rsidR="00CF7B8E" w:rsidRPr="00CF7B8E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lastRenderedPageBreak/>
        <w:t xml:space="preserve">Identifikace relevantních materiálních témat v kontextu obchodního modelu Objednatele (analýza </w:t>
      </w:r>
      <w:proofErr w:type="spellStart"/>
      <w:r w:rsidRPr="00CF7B8E">
        <w:rPr>
          <w:rFonts w:ascii="Arial" w:hAnsi="Arial" w:cs="Arial"/>
          <w:szCs w:val="22"/>
        </w:rPr>
        <w:t>materiality</w:t>
      </w:r>
      <w:proofErr w:type="spellEnd"/>
      <w:r w:rsidRPr="00CF7B8E">
        <w:rPr>
          <w:rFonts w:ascii="Arial" w:hAnsi="Arial" w:cs="Arial"/>
          <w:szCs w:val="22"/>
        </w:rPr>
        <w:t>) a její zdůvodnění (identifikace hlavních dopadů, hrozeb a příležitostí; příprava matice dvojí významnosti; stanovení prahové hodnoty pro určení materiálních témat);</w:t>
      </w:r>
    </w:p>
    <w:p w14:paraId="46086444" w14:textId="77777777" w:rsidR="00CF7B8E" w:rsidRPr="00CF7B8E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t>Stanovení metrik (KPI) které jsou pro Objednatele významné a jejich zdůvodnění;</w:t>
      </w:r>
    </w:p>
    <w:p w14:paraId="4F90ABCF" w14:textId="77777777" w:rsidR="00A656D3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t>Vytvoření implementačního postupu (</w:t>
      </w:r>
      <w:proofErr w:type="spellStart"/>
      <w:r w:rsidRPr="00CF7B8E">
        <w:rPr>
          <w:rFonts w:ascii="Arial" w:hAnsi="Arial" w:cs="Arial"/>
          <w:szCs w:val="22"/>
        </w:rPr>
        <w:t>roadmapa</w:t>
      </w:r>
      <w:proofErr w:type="spellEnd"/>
      <w:r w:rsidRPr="00CF7B8E">
        <w:rPr>
          <w:rFonts w:ascii="Arial" w:hAnsi="Arial" w:cs="Arial"/>
          <w:szCs w:val="22"/>
        </w:rPr>
        <w:t>) pro přípra</w:t>
      </w:r>
      <w:r w:rsidR="002C052A">
        <w:rPr>
          <w:rFonts w:ascii="Arial" w:hAnsi="Arial" w:cs="Arial"/>
          <w:szCs w:val="22"/>
        </w:rPr>
        <w:t>vu a realizaci ESG reportingu a </w:t>
      </w:r>
      <w:r w:rsidRPr="00CF7B8E">
        <w:rPr>
          <w:rFonts w:ascii="Arial" w:hAnsi="Arial" w:cs="Arial"/>
          <w:szCs w:val="22"/>
        </w:rPr>
        <w:t>dosažení souladu s CSRD do roku 2026.</w:t>
      </w:r>
    </w:p>
    <w:p w14:paraId="4AFB546D" w14:textId="0AF4A4DB" w:rsidR="00CF7B8E" w:rsidRDefault="00A656D3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Účast pověřeného zástupce na jednáních</w:t>
      </w:r>
      <w:r w:rsidR="002B517C">
        <w:rPr>
          <w:rFonts w:ascii="Arial" w:hAnsi="Arial" w:cs="Arial"/>
          <w:szCs w:val="22"/>
        </w:rPr>
        <w:t xml:space="preserve"> u O</w:t>
      </w:r>
      <w:r w:rsidR="00394425">
        <w:rPr>
          <w:rFonts w:ascii="Arial" w:hAnsi="Arial" w:cs="Arial"/>
          <w:szCs w:val="22"/>
        </w:rPr>
        <w:t>bjednatele</w:t>
      </w:r>
      <w:r>
        <w:rPr>
          <w:rFonts w:ascii="Arial" w:hAnsi="Arial" w:cs="Arial"/>
          <w:szCs w:val="22"/>
        </w:rPr>
        <w:t xml:space="preserve"> spojených s CSRD v rozsahu m</w:t>
      </w:r>
      <w:r w:rsidR="00394425">
        <w:rPr>
          <w:rFonts w:ascii="Arial" w:hAnsi="Arial" w:cs="Arial"/>
          <w:szCs w:val="22"/>
        </w:rPr>
        <w:t>ax</w:t>
      </w:r>
      <w:r>
        <w:rPr>
          <w:rFonts w:ascii="Arial" w:hAnsi="Arial" w:cs="Arial"/>
          <w:szCs w:val="22"/>
        </w:rPr>
        <w:t xml:space="preserve">. </w:t>
      </w:r>
      <w:r w:rsidR="00394425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hodin.</w:t>
      </w:r>
    </w:p>
    <w:p w14:paraId="63918FC5" w14:textId="25EE41FC" w:rsidR="003B6BDF" w:rsidRPr="00CF7B8E" w:rsidRDefault="00E80151" w:rsidP="00A11C1E">
      <w:pPr>
        <w:pStyle w:val="Odstavecseseznamem"/>
        <w:numPr>
          <w:ilvl w:val="0"/>
          <w:numId w:val="6"/>
        </w:numPr>
        <w:tabs>
          <w:tab w:val="left" w:pos="425"/>
        </w:tabs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Termín</w:t>
      </w:r>
      <w:r w:rsidR="003B6BDF" w:rsidRPr="00CF7B8E">
        <w:rPr>
          <w:rFonts w:ascii="Arial" w:hAnsi="Arial" w:cs="Arial"/>
          <w:b/>
          <w:szCs w:val="22"/>
        </w:rPr>
        <w:t xml:space="preserve"> </w:t>
      </w:r>
      <w:r w:rsidR="00CF7B8E">
        <w:rPr>
          <w:rFonts w:ascii="Arial" w:hAnsi="Arial" w:cs="Arial"/>
          <w:b/>
          <w:szCs w:val="22"/>
        </w:rPr>
        <w:t>plnění</w:t>
      </w:r>
    </w:p>
    <w:p w14:paraId="624560F1" w14:textId="77777777" w:rsidR="00CF7B8E" w:rsidRPr="00CF7B8E" w:rsidRDefault="00CF7B8E" w:rsidP="00CF7B8E">
      <w:pPr>
        <w:pStyle w:val="Odstavecseseznamem"/>
        <w:numPr>
          <w:ilvl w:val="0"/>
          <w:numId w:val="0"/>
        </w:numPr>
        <w:tabs>
          <w:tab w:val="left" w:pos="425"/>
        </w:tabs>
        <w:spacing w:after="0"/>
        <w:ind w:left="1080"/>
        <w:rPr>
          <w:rFonts w:ascii="Arial" w:hAnsi="Arial" w:cs="Arial"/>
          <w:b/>
          <w:szCs w:val="22"/>
        </w:rPr>
      </w:pPr>
    </w:p>
    <w:p w14:paraId="410D4752" w14:textId="03267656" w:rsidR="00CF7B8E" w:rsidRPr="00CF3400" w:rsidRDefault="00CF7B8E" w:rsidP="00FE6555">
      <w:pPr>
        <w:pStyle w:val="Odstavecseseznamem"/>
        <w:numPr>
          <w:ilvl w:val="0"/>
          <w:numId w:val="24"/>
        </w:numPr>
        <w:tabs>
          <w:tab w:val="left" w:pos="425"/>
        </w:tabs>
        <w:spacing w:after="60"/>
        <w:contextualSpacing w:val="0"/>
        <w:rPr>
          <w:rFonts w:ascii="Arial" w:hAnsi="Arial" w:cs="Arial"/>
          <w:b/>
          <w:szCs w:val="22"/>
        </w:rPr>
      </w:pPr>
      <w:r w:rsidRPr="00CF3400">
        <w:rPr>
          <w:rFonts w:ascii="Arial" w:hAnsi="Arial" w:cs="Arial"/>
          <w:szCs w:val="22"/>
        </w:rPr>
        <w:t>Smlouva nabývá platnosti dnem podpisu oprávněnými zástupci obou Smluvních stran. Smlouva nabývá účinnosti uveřejněním v Registru smluv. Smlo</w:t>
      </w:r>
      <w:r w:rsidR="00703AF7" w:rsidRPr="00CF3400">
        <w:rPr>
          <w:rFonts w:ascii="Arial" w:hAnsi="Arial" w:cs="Arial"/>
          <w:szCs w:val="22"/>
        </w:rPr>
        <w:t xml:space="preserve">uva se uzavírá na dobu určitou </w:t>
      </w:r>
      <w:r w:rsidRPr="00CF3400">
        <w:rPr>
          <w:rFonts w:ascii="Arial" w:hAnsi="Arial" w:cs="Arial"/>
          <w:szCs w:val="22"/>
        </w:rPr>
        <w:t xml:space="preserve">do </w:t>
      </w:r>
      <w:r w:rsidR="00E80151">
        <w:rPr>
          <w:rFonts w:ascii="Arial" w:hAnsi="Arial" w:cs="Arial"/>
          <w:szCs w:val="22"/>
        </w:rPr>
        <w:t>150</w:t>
      </w:r>
      <w:r w:rsidR="00B262BD">
        <w:rPr>
          <w:rFonts w:ascii="Arial" w:hAnsi="Arial" w:cs="Arial"/>
          <w:szCs w:val="22"/>
        </w:rPr>
        <w:t xml:space="preserve"> dnů od </w:t>
      </w:r>
      <w:r w:rsidR="00CF3400">
        <w:rPr>
          <w:rFonts w:ascii="Arial" w:hAnsi="Arial" w:cs="Arial"/>
          <w:szCs w:val="22"/>
        </w:rPr>
        <w:t>účinnosti smlouvy.</w:t>
      </w:r>
    </w:p>
    <w:p w14:paraId="3575DEF8" w14:textId="77777777" w:rsidR="003B6BDF" w:rsidRDefault="003B6BDF" w:rsidP="00A11C1E">
      <w:pPr>
        <w:pStyle w:val="Zkladntextodsazen"/>
        <w:numPr>
          <w:ilvl w:val="0"/>
          <w:numId w:val="6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B6BDF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F7A331" w14:textId="77777777" w:rsidR="00CF7B8E" w:rsidRPr="003B6BDF" w:rsidRDefault="00CF7B8E" w:rsidP="00CF7B8E">
      <w:pPr>
        <w:pStyle w:val="Zkladntextodsazen"/>
        <w:spacing w:line="276" w:lineRule="auto"/>
        <w:ind w:left="1080" w:firstLine="0"/>
        <w:rPr>
          <w:rFonts w:ascii="Arial" w:hAnsi="Arial" w:cs="Arial"/>
          <w:b/>
          <w:sz w:val="22"/>
          <w:szCs w:val="22"/>
        </w:rPr>
      </w:pPr>
    </w:p>
    <w:p w14:paraId="083C5324" w14:textId="7A8A6973" w:rsidR="00773455" w:rsidRPr="00773455" w:rsidRDefault="001871C0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773455" w:rsidRPr="00773455">
        <w:rPr>
          <w:rFonts w:ascii="Arial" w:hAnsi="Arial" w:cs="Arial"/>
          <w:szCs w:val="22"/>
        </w:rPr>
        <w:t xml:space="preserve"> se zavazuje vykonávat poradenskou činnost dle této Smlouvy s veškerou odbornou</w:t>
      </w:r>
      <w:r w:rsidR="00773455">
        <w:rPr>
          <w:rFonts w:ascii="Arial" w:hAnsi="Arial" w:cs="Arial"/>
          <w:szCs w:val="22"/>
        </w:rPr>
        <w:t xml:space="preserve"> </w:t>
      </w:r>
      <w:r w:rsidR="00773455" w:rsidRPr="00773455">
        <w:rPr>
          <w:rFonts w:ascii="Arial" w:hAnsi="Arial" w:cs="Arial"/>
          <w:szCs w:val="22"/>
        </w:rPr>
        <w:t>péčí, chránit jemu známé zájmy Objednatele a informovat Objednatele průběžně o plnění předmětu této Smlouvy.</w:t>
      </w:r>
    </w:p>
    <w:p w14:paraId="0D4E325F" w14:textId="47B8A2A4" w:rsidR="00773455" w:rsidRPr="00773455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 xml:space="preserve">Objednatel je povinen poskytovat </w:t>
      </w:r>
      <w:r w:rsidR="00FE6555">
        <w:rPr>
          <w:rFonts w:ascii="Arial" w:hAnsi="Arial" w:cs="Arial"/>
          <w:szCs w:val="22"/>
        </w:rPr>
        <w:t>Poradci</w:t>
      </w:r>
      <w:r w:rsidRPr="00773455">
        <w:rPr>
          <w:rFonts w:ascii="Arial" w:hAnsi="Arial" w:cs="Arial"/>
          <w:szCs w:val="22"/>
        </w:rPr>
        <w:t xml:space="preserve"> veškerou potřebnou součinnost a veškeré informace</w:t>
      </w:r>
      <w:r>
        <w:rPr>
          <w:rFonts w:ascii="Arial" w:hAnsi="Arial" w:cs="Arial"/>
          <w:szCs w:val="22"/>
        </w:rPr>
        <w:t xml:space="preserve"> </w:t>
      </w:r>
      <w:r w:rsidR="002C052A">
        <w:rPr>
          <w:rFonts w:ascii="Arial" w:hAnsi="Arial" w:cs="Arial"/>
          <w:szCs w:val="22"/>
        </w:rPr>
        <w:t>a </w:t>
      </w:r>
      <w:r w:rsidRPr="00773455">
        <w:rPr>
          <w:rFonts w:ascii="Arial" w:hAnsi="Arial" w:cs="Arial"/>
          <w:szCs w:val="22"/>
        </w:rPr>
        <w:t xml:space="preserve">podklady potřebné k plnění poradenské činnosti </w:t>
      </w:r>
      <w:r w:rsidR="001871C0">
        <w:rPr>
          <w:rFonts w:ascii="Arial" w:hAnsi="Arial" w:cs="Arial"/>
          <w:szCs w:val="22"/>
        </w:rPr>
        <w:t>Poradc</w:t>
      </w:r>
      <w:r w:rsidRPr="00773455">
        <w:rPr>
          <w:rFonts w:ascii="Arial" w:hAnsi="Arial" w:cs="Arial"/>
          <w:szCs w:val="22"/>
        </w:rPr>
        <w:t>e.</w:t>
      </w:r>
    </w:p>
    <w:p w14:paraId="0BEF1306" w14:textId="77777777" w:rsidR="00773455" w:rsidRPr="00773455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Smluvní strany sjednaly, že budou vzájemně spolupracovat a aktivně přistupovat k</w:t>
      </w:r>
      <w:r>
        <w:rPr>
          <w:rFonts w:ascii="Arial" w:hAnsi="Arial" w:cs="Arial"/>
          <w:szCs w:val="22"/>
        </w:rPr>
        <w:t> </w:t>
      </w:r>
      <w:r w:rsidRPr="00773455">
        <w:rPr>
          <w:rFonts w:ascii="Arial" w:hAnsi="Arial" w:cs="Arial"/>
          <w:szCs w:val="22"/>
        </w:rPr>
        <w:t>řešení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jednotlivých oblastí poradenských služeb poskytovaných dle této Smlouvy.</w:t>
      </w:r>
    </w:p>
    <w:p w14:paraId="6DB97C9B" w14:textId="0E6D13FA" w:rsidR="00773455" w:rsidRPr="00773455" w:rsidRDefault="001871C0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773455" w:rsidRPr="00773455">
        <w:rPr>
          <w:rFonts w:ascii="Arial" w:hAnsi="Arial" w:cs="Arial"/>
          <w:szCs w:val="22"/>
        </w:rPr>
        <w:t xml:space="preserve"> je povinen vykonávat poradenskou činnost dle této Smlouvy v dohodnutých termínech</w:t>
      </w:r>
      <w:r w:rsidR="00773455">
        <w:rPr>
          <w:rFonts w:ascii="Arial" w:hAnsi="Arial" w:cs="Arial"/>
          <w:szCs w:val="22"/>
        </w:rPr>
        <w:t xml:space="preserve"> </w:t>
      </w:r>
      <w:r w:rsidR="00773455" w:rsidRPr="00773455">
        <w:rPr>
          <w:rFonts w:ascii="Arial" w:hAnsi="Arial" w:cs="Arial"/>
          <w:szCs w:val="22"/>
        </w:rPr>
        <w:t>podle požadavků Objednatele.</w:t>
      </w:r>
      <w:r w:rsidR="00CF340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Poradce</w:t>
      </w:r>
      <w:r w:rsidR="00CF3400">
        <w:rPr>
          <w:rFonts w:ascii="Arial" w:hAnsi="Arial" w:cs="Arial"/>
          <w:szCs w:val="22"/>
        </w:rPr>
        <w:t xml:space="preserve"> je povinen předat Objednateli harmonogram </w:t>
      </w:r>
      <w:r w:rsidR="00CF3400" w:rsidRPr="00743D06">
        <w:rPr>
          <w:rFonts w:ascii="Arial" w:hAnsi="Arial" w:cs="Arial"/>
          <w:szCs w:val="22"/>
        </w:rPr>
        <w:t xml:space="preserve">plnění </w:t>
      </w:r>
      <w:r w:rsidR="00B262BD" w:rsidRPr="00743D06">
        <w:rPr>
          <w:rFonts w:ascii="Arial" w:hAnsi="Arial" w:cs="Arial"/>
          <w:szCs w:val="22"/>
        </w:rPr>
        <w:t xml:space="preserve">předmětu </w:t>
      </w:r>
      <w:r w:rsidR="00743D06">
        <w:rPr>
          <w:rFonts w:ascii="Arial" w:hAnsi="Arial" w:cs="Arial"/>
          <w:szCs w:val="22"/>
        </w:rPr>
        <w:t>této Smlouvy</w:t>
      </w:r>
      <w:r w:rsidR="00CF3400">
        <w:rPr>
          <w:rFonts w:ascii="Arial" w:hAnsi="Arial" w:cs="Arial"/>
          <w:szCs w:val="22"/>
        </w:rPr>
        <w:t xml:space="preserve"> ve struktuře dle bodu </w:t>
      </w:r>
      <w:proofErr w:type="gramStart"/>
      <w:r w:rsidR="00CF3400">
        <w:rPr>
          <w:rFonts w:ascii="Arial" w:hAnsi="Arial" w:cs="Arial"/>
          <w:szCs w:val="22"/>
        </w:rPr>
        <w:t>II.1 do</w:t>
      </w:r>
      <w:proofErr w:type="gramEnd"/>
      <w:r w:rsidR="00CF3400">
        <w:rPr>
          <w:rFonts w:ascii="Arial" w:hAnsi="Arial" w:cs="Arial"/>
          <w:szCs w:val="22"/>
        </w:rPr>
        <w:t xml:space="preserve"> 10 pracovních dnů od </w:t>
      </w:r>
      <w:r w:rsidR="00FE6555">
        <w:rPr>
          <w:rFonts w:ascii="Arial" w:hAnsi="Arial" w:cs="Arial"/>
          <w:szCs w:val="22"/>
        </w:rPr>
        <w:t xml:space="preserve">data </w:t>
      </w:r>
      <w:r w:rsidR="00CF3400">
        <w:rPr>
          <w:rFonts w:ascii="Arial" w:hAnsi="Arial" w:cs="Arial"/>
          <w:szCs w:val="22"/>
        </w:rPr>
        <w:t xml:space="preserve">účinnosti této Smlouvy. </w:t>
      </w:r>
      <w:r w:rsidR="0081376B">
        <w:rPr>
          <w:rFonts w:ascii="Arial" w:hAnsi="Arial" w:cs="Arial"/>
          <w:szCs w:val="22"/>
        </w:rPr>
        <w:t xml:space="preserve">V případě prodlení </w:t>
      </w:r>
      <w:r>
        <w:rPr>
          <w:rFonts w:ascii="Arial" w:hAnsi="Arial" w:cs="Arial"/>
          <w:szCs w:val="22"/>
        </w:rPr>
        <w:t>Poradc</w:t>
      </w:r>
      <w:r w:rsidR="0081376B">
        <w:rPr>
          <w:rFonts w:ascii="Arial" w:hAnsi="Arial" w:cs="Arial"/>
          <w:szCs w:val="22"/>
        </w:rPr>
        <w:t xml:space="preserve">e s plněním </w:t>
      </w:r>
      <w:r w:rsidR="000B3338">
        <w:rPr>
          <w:rFonts w:ascii="Arial" w:hAnsi="Arial" w:cs="Arial"/>
          <w:szCs w:val="22"/>
        </w:rPr>
        <w:t xml:space="preserve">předmětu </w:t>
      </w:r>
      <w:r w:rsidR="00927607">
        <w:rPr>
          <w:rFonts w:ascii="Arial" w:hAnsi="Arial" w:cs="Arial"/>
          <w:szCs w:val="22"/>
        </w:rPr>
        <w:t xml:space="preserve">této Smlouvy </w:t>
      </w:r>
      <w:r w:rsidR="0081376B">
        <w:rPr>
          <w:rFonts w:ascii="Arial" w:hAnsi="Arial" w:cs="Arial"/>
          <w:szCs w:val="22"/>
        </w:rPr>
        <w:t xml:space="preserve">(viz bod </w:t>
      </w:r>
      <w:proofErr w:type="gramStart"/>
      <w:r w:rsidR="0081376B">
        <w:rPr>
          <w:rFonts w:ascii="Arial" w:hAnsi="Arial" w:cs="Arial"/>
          <w:szCs w:val="22"/>
        </w:rPr>
        <w:t>III.1 této</w:t>
      </w:r>
      <w:proofErr w:type="gramEnd"/>
      <w:r w:rsidR="0081376B">
        <w:rPr>
          <w:rFonts w:ascii="Arial" w:hAnsi="Arial" w:cs="Arial"/>
          <w:szCs w:val="22"/>
        </w:rPr>
        <w:t xml:space="preserve"> Smlouvy) je Objednatel oprávněn vyúčtovat </w:t>
      </w:r>
      <w:r>
        <w:rPr>
          <w:rFonts w:ascii="Arial" w:hAnsi="Arial" w:cs="Arial"/>
          <w:szCs w:val="22"/>
        </w:rPr>
        <w:t>Poradc</w:t>
      </w:r>
      <w:r w:rsidR="00B262BD">
        <w:rPr>
          <w:rFonts w:ascii="Arial" w:hAnsi="Arial" w:cs="Arial"/>
          <w:szCs w:val="22"/>
        </w:rPr>
        <w:t>i smluvní pokutu ve výši 0,5 </w:t>
      </w:r>
      <w:r w:rsidR="0081376B">
        <w:rPr>
          <w:rFonts w:ascii="Arial" w:hAnsi="Arial" w:cs="Arial"/>
          <w:szCs w:val="22"/>
        </w:rPr>
        <w:t xml:space="preserve">% z celkové ceny </w:t>
      </w:r>
      <w:r w:rsidR="000B3338">
        <w:rPr>
          <w:rFonts w:ascii="Arial" w:hAnsi="Arial" w:cs="Arial"/>
          <w:szCs w:val="22"/>
        </w:rPr>
        <w:t>předmětu plnění</w:t>
      </w:r>
      <w:r w:rsidR="00FE6555">
        <w:rPr>
          <w:rFonts w:ascii="Arial" w:hAnsi="Arial" w:cs="Arial"/>
          <w:szCs w:val="22"/>
        </w:rPr>
        <w:t xml:space="preserve"> za každý den prodlení.</w:t>
      </w:r>
    </w:p>
    <w:p w14:paraId="7FEE45AF" w14:textId="17D0DFA7" w:rsidR="00773455" w:rsidRPr="00773455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 xml:space="preserve">Objednatel je povinen zaplatit </w:t>
      </w:r>
      <w:r w:rsidR="001871C0">
        <w:rPr>
          <w:rFonts w:ascii="Arial" w:hAnsi="Arial" w:cs="Arial"/>
          <w:szCs w:val="22"/>
        </w:rPr>
        <w:t>Poradc</w:t>
      </w:r>
      <w:r w:rsidRPr="00773455">
        <w:rPr>
          <w:rFonts w:ascii="Arial" w:hAnsi="Arial" w:cs="Arial"/>
          <w:szCs w:val="22"/>
        </w:rPr>
        <w:t>i odměnu v dohodnuté výši a v termínech v</w:t>
      </w:r>
      <w:r>
        <w:rPr>
          <w:rFonts w:ascii="Arial" w:hAnsi="Arial" w:cs="Arial"/>
          <w:szCs w:val="22"/>
        </w:rPr>
        <w:t> </w:t>
      </w:r>
      <w:r w:rsidRPr="00773455">
        <w:rPr>
          <w:rFonts w:ascii="Arial" w:hAnsi="Arial" w:cs="Arial"/>
          <w:szCs w:val="22"/>
        </w:rPr>
        <w:t>souladu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s článkem III. a V</w:t>
      </w:r>
      <w:r w:rsidR="00FE6555">
        <w:rPr>
          <w:rFonts w:ascii="Arial" w:hAnsi="Arial" w:cs="Arial"/>
          <w:szCs w:val="22"/>
        </w:rPr>
        <w:t>I</w:t>
      </w:r>
      <w:r w:rsidRPr="00773455">
        <w:rPr>
          <w:rFonts w:ascii="Arial" w:hAnsi="Arial" w:cs="Arial"/>
          <w:szCs w:val="22"/>
        </w:rPr>
        <w:t>. této Smlouvy.</w:t>
      </w:r>
    </w:p>
    <w:p w14:paraId="4E088348" w14:textId="29C5FA5C" w:rsidR="00CF3400" w:rsidRPr="00CF3400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Každá ze Smluvních stran určuje kontaktní osobu, která bude zabezpečovat vzájemné předávání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informací a spolupráci, předávání potřebných dokumentů, podkladů a výsledků činnosti dle této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Smlouvy. Dojde-li ke změně v osobách pověřených k výkonu komunikace dle tohoto odstavce, je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kterákoli ze Smluvních stran oprávněna pouze písemným</w:t>
      </w:r>
      <w:r w:rsidR="00703AF7">
        <w:rPr>
          <w:rFonts w:ascii="Arial" w:hAnsi="Arial" w:cs="Arial"/>
          <w:szCs w:val="22"/>
        </w:rPr>
        <w:t xml:space="preserve"> nebo prokazatelně elektronickým způsobem</w:t>
      </w:r>
      <w:r w:rsidR="00EF45EA">
        <w:rPr>
          <w:rFonts w:ascii="Arial" w:hAnsi="Arial" w:cs="Arial"/>
          <w:szCs w:val="22"/>
        </w:rPr>
        <w:t xml:space="preserve"> oznám</w:t>
      </w:r>
      <w:r w:rsidR="00703AF7">
        <w:rPr>
          <w:rFonts w:ascii="Arial" w:hAnsi="Arial" w:cs="Arial"/>
          <w:szCs w:val="22"/>
        </w:rPr>
        <w:t>it</w:t>
      </w:r>
      <w:r w:rsidR="00EF45EA">
        <w:rPr>
          <w:rFonts w:ascii="Arial" w:hAnsi="Arial" w:cs="Arial"/>
          <w:szCs w:val="22"/>
        </w:rPr>
        <w:t xml:space="preserve"> druhé</w:t>
      </w:r>
      <w:r w:rsidRPr="00773455">
        <w:rPr>
          <w:rFonts w:ascii="Arial" w:hAnsi="Arial" w:cs="Arial"/>
          <w:szCs w:val="22"/>
        </w:rPr>
        <w:t xml:space="preserve"> Smluvní</w:t>
      </w:r>
      <w:r>
        <w:rPr>
          <w:rFonts w:ascii="Arial" w:hAnsi="Arial" w:cs="Arial"/>
          <w:szCs w:val="22"/>
        </w:rPr>
        <w:t xml:space="preserve"> </w:t>
      </w:r>
      <w:r w:rsidR="00EF45EA">
        <w:rPr>
          <w:rFonts w:ascii="Arial" w:hAnsi="Arial" w:cs="Arial"/>
          <w:szCs w:val="22"/>
        </w:rPr>
        <w:t>straně provedení změny</w:t>
      </w:r>
      <w:r w:rsidRPr="00773455">
        <w:rPr>
          <w:rFonts w:ascii="Arial" w:hAnsi="Arial" w:cs="Arial"/>
          <w:szCs w:val="22"/>
        </w:rPr>
        <w:t xml:space="preserve">. Smluvní strany sjednaly, že takové změny a </w:t>
      </w:r>
      <w:r>
        <w:rPr>
          <w:rFonts w:ascii="Arial" w:hAnsi="Arial" w:cs="Arial"/>
          <w:szCs w:val="22"/>
        </w:rPr>
        <w:t xml:space="preserve">doplnění nejsou </w:t>
      </w:r>
      <w:r w:rsidRPr="00773455">
        <w:rPr>
          <w:rFonts w:ascii="Arial" w:hAnsi="Arial" w:cs="Arial"/>
          <w:szCs w:val="22"/>
        </w:rPr>
        <w:t>považovány za změny této Smlouvy a nebudou prováděny formou dodatku k této Smlouvě.</w:t>
      </w:r>
    </w:p>
    <w:p w14:paraId="1FAF1402" w14:textId="77777777" w:rsidR="00773455" w:rsidRDefault="00773455" w:rsidP="00773455">
      <w:pPr>
        <w:spacing w:after="0"/>
        <w:rPr>
          <w:rFonts w:ascii="Arial" w:hAnsi="Arial" w:cs="Arial"/>
          <w:szCs w:val="22"/>
        </w:rPr>
      </w:pPr>
    </w:p>
    <w:p w14:paraId="1A9F61E0" w14:textId="43457F4F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 xml:space="preserve">Kontaktní osoba na straně </w:t>
      </w:r>
      <w:r w:rsidR="001871C0">
        <w:rPr>
          <w:rFonts w:ascii="Arial" w:hAnsi="Arial" w:cs="Arial"/>
          <w:szCs w:val="22"/>
        </w:rPr>
        <w:t>Poradc</w:t>
      </w:r>
      <w:r w:rsidRPr="00773455">
        <w:rPr>
          <w:rFonts w:ascii="Arial" w:hAnsi="Arial" w:cs="Arial"/>
          <w:szCs w:val="22"/>
        </w:rPr>
        <w:t>e:</w:t>
      </w:r>
    </w:p>
    <w:p w14:paraId="6F7A9D59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Jméno:</w:t>
      </w:r>
    </w:p>
    <w:p w14:paraId="4DF34A67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Telefon:</w:t>
      </w:r>
    </w:p>
    <w:p w14:paraId="097A40FD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Email:</w:t>
      </w:r>
    </w:p>
    <w:p w14:paraId="321BEF25" w14:textId="77777777" w:rsidR="00773455" w:rsidRDefault="00773455" w:rsidP="00773455">
      <w:pPr>
        <w:spacing w:after="0"/>
        <w:rPr>
          <w:rFonts w:ascii="Arial" w:hAnsi="Arial" w:cs="Arial"/>
          <w:szCs w:val="22"/>
        </w:rPr>
      </w:pPr>
    </w:p>
    <w:p w14:paraId="74B231FC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Kontaktní osoba na straně Objednatele:</w:t>
      </w:r>
    </w:p>
    <w:p w14:paraId="73347EB0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Jméno:</w:t>
      </w:r>
      <w:r w:rsidR="00EF45EA">
        <w:rPr>
          <w:rFonts w:ascii="Arial" w:hAnsi="Arial" w:cs="Arial"/>
          <w:szCs w:val="22"/>
        </w:rPr>
        <w:t xml:space="preserve"> Ing. Michaela Kuzmiaková</w:t>
      </w:r>
    </w:p>
    <w:p w14:paraId="3FED26BD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Telefon:</w:t>
      </w:r>
      <w:r w:rsidR="002C052A">
        <w:rPr>
          <w:rFonts w:ascii="Arial" w:hAnsi="Arial" w:cs="Arial"/>
          <w:szCs w:val="22"/>
        </w:rPr>
        <w:t xml:space="preserve"> +420 </w:t>
      </w:r>
      <w:r w:rsidR="002C052A" w:rsidRPr="002C052A">
        <w:rPr>
          <w:rFonts w:ascii="Arial" w:hAnsi="Arial" w:cs="Arial"/>
          <w:szCs w:val="22"/>
        </w:rPr>
        <w:t>724 164 960</w:t>
      </w:r>
    </w:p>
    <w:p w14:paraId="07F403CB" w14:textId="77777777" w:rsidR="003B6BDF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Email:</w:t>
      </w:r>
      <w:r w:rsidR="00EF45EA">
        <w:rPr>
          <w:rFonts w:ascii="Arial" w:hAnsi="Arial" w:cs="Arial"/>
          <w:szCs w:val="22"/>
        </w:rPr>
        <w:t xml:space="preserve"> </w:t>
      </w:r>
      <w:hyperlink r:id="rId8" w:history="1">
        <w:r w:rsidR="00EF45EA" w:rsidRPr="00365969">
          <w:rPr>
            <w:rStyle w:val="Hypertextovodkaz"/>
            <w:rFonts w:ascii="Arial" w:hAnsi="Arial" w:cs="Arial"/>
            <w:szCs w:val="22"/>
          </w:rPr>
          <w:t>michaela.kuzmiakova@dpo.cz</w:t>
        </w:r>
      </w:hyperlink>
    </w:p>
    <w:p w14:paraId="37424223" w14:textId="469BD638" w:rsidR="00EF45EA" w:rsidRDefault="00EF45EA" w:rsidP="00773455">
      <w:pPr>
        <w:spacing w:after="0"/>
        <w:rPr>
          <w:rFonts w:ascii="Arial" w:hAnsi="Arial" w:cs="Arial"/>
          <w:szCs w:val="22"/>
        </w:rPr>
      </w:pPr>
    </w:p>
    <w:p w14:paraId="1B1E6AE8" w14:textId="77777777" w:rsidR="00E80151" w:rsidRDefault="00E80151" w:rsidP="00E80151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</w:rPr>
      </w:pPr>
      <w:r w:rsidRPr="00E80151">
        <w:rPr>
          <w:rFonts w:ascii="Arial" w:hAnsi="Arial" w:cs="Arial"/>
          <w:b/>
          <w:u w:val="single"/>
        </w:rPr>
        <w:t>Vyhrazená změna závazku:</w:t>
      </w:r>
      <w:r>
        <w:rPr>
          <w:rFonts w:ascii="Arial" w:hAnsi="Arial" w:cs="Arial"/>
        </w:rPr>
        <w:t xml:space="preserve"> </w:t>
      </w:r>
    </w:p>
    <w:p w14:paraId="2535FB68" w14:textId="77777777" w:rsidR="005944F4" w:rsidRDefault="00067A98" w:rsidP="0003297D">
      <w:pPr>
        <w:pStyle w:val="Odstavecseseznamem"/>
        <w:numPr>
          <w:ilvl w:val="1"/>
          <w:numId w:val="57"/>
        </w:numPr>
        <w:tabs>
          <w:tab w:val="left" w:pos="425"/>
        </w:tabs>
        <w:spacing w:after="60"/>
        <w:contextualSpacing w:val="0"/>
        <w:rPr>
          <w:rFonts w:ascii="Arial" w:hAnsi="Arial" w:cs="Arial"/>
        </w:rPr>
      </w:pPr>
      <w:r w:rsidRPr="00E80151">
        <w:rPr>
          <w:rFonts w:ascii="Arial" w:hAnsi="Arial" w:cs="Arial"/>
        </w:rPr>
        <w:t>Smluv</w:t>
      </w:r>
      <w:r w:rsidRPr="00067A98">
        <w:rPr>
          <w:rFonts w:ascii="Arial" w:hAnsi="Arial" w:cs="Arial"/>
        </w:rPr>
        <w:t xml:space="preserve">ní strany sjednávají, že </w:t>
      </w:r>
      <w:r>
        <w:rPr>
          <w:rFonts w:ascii="Arial" w:hAnsi="Arial" w:cs="Arial"/>
        </w:rPr>
        <w:t>Objednatel</w:t>
      </w:r>
      <w:r w:rsidRPr="00067A98">
        <w:rPr>
          <w:rFonts w:ascii="Arial" w:hAnsi="Arial" w:cs="Arial"/>
        </w:rPr>
        <w:t xml:space="preserve"> je oprávněn požádat </w:t>
      </w:r>
      <w:r>
        <w:rPr>
          <w:rFonts w:ascii="Arial" w:hAnsi="Arial" w:cs="Arial"/>
        </w:rPr>
        <w:t>Poradce</w:t>
      </w:r>
      <w:r w:rsidRPr="00067A98">
        <w:rPr>
          <w:rFonts w:ascii="Arial" w:hAnsi="Arial" w:cs="Arial"/>
        </w:rPr>
        <w:t xml:space="preserve"> o (i) odbornou analýzu</w:t>
      </w:r>
      <w:r>
        <w:rPr>
          <w:rFonts w:ascii="Arial" w:hAnsi="Arial" w:cs="Arial"/>
        </w:rPr>
        <w:t>,</w:t>
      </w:r>
      <w:r w:rsidRPr="00067A98">
        <w:rPr>
          <w:rFonts w:ascii="Arial" w:hAnsi="Arial" w:cs="Arial"/>
        </w:rPr>
        <w:t xml:space="preserve"> </w:t>
      </w:r>
      <w:r w:rsidR="00A65E2B" w:rsidRPr="00067A98">
        <w:rPr>
          <w:rFonts w:ascii="Arial" w:hAnsi="Arial" w:cs="Arial"/>
        </w:rPr>
        <w:t>(</w:t>
      </w:r>
      <w:proofErr w:type="spellStart"/>
      <w:r w:rsidR="00A65E2B" w:rsidRPr="00067A98">
        <w:rPr>
          <w:rFonts w:ascii="Arial" w:hAnsi="Arial" w:cs="Arial"/>
        </w:rPr>
        <w:t>i</w:t>
      </w:r>
      <w:r w:rsidR="00A65E2B">
        <w:rPr>
          <w:rFonts w:ascii="Arial" w:hAnsi="Arial" w:cs="Arial"/>
        </w:rPr>
        <w:t>i</w:t>
      </w:r>
      <w:proofErr w:type="spellEnd"/>
      <w:r w:rsidR="00A65E2B" w:rsidRPr="00067A98">
        <w:rPr>
          <w:rFonts w:ascii="Arial" w:hAnsi="Arial" w:cs="Arial"/>
        </w:rPr>
        <w:t xml:space="preserve">) </w:t>
      </w:r>
      <w:r w:rsidRPr="00067A98">
        <w:rPr>
          <w:rFonts w:ascii="Arial" w:hAnsi="Arial" w:cs="Arial"/>
        </w:rPr>
        <w:t>případné následné činnosti spojené s</w:t>
      </w:r>
      <w:r>
        <w:rPr>
          <w:rFonts w:ascii="Arial" w:hAnsi="Arial" w:cs="Arial"/>
        </w:rPr>
        <w:t>e splněním požadavků CSRD</w:t>
      </w:r>
      <w:r w:rsidRPr="00067A98">
        <w:rPr>
          <w:rFonts w:ascii="Arial" w:hAnsi="Arial" w:cs="Arial"/>
        </w:rPr>
        <w:t xml:space="preserve">. </w:t>
      </w:r>
      <w:r w:rsidRPr="00E80151">
        <w:rPr>
          <w:rFonts w:ascii="Arial" w:hAnsi="Arial" w:cs="Arial"/>
        </w:rPr>
        <w:t xml:space="preserve">Podmínky takovéto </w:t>
      </w:r>
      <w:r w:rsidRPr="00E80151">
        <w:rPr>
          <w:rFonts w:ascii="Arial" w:hAnsi="Arial" w:cs="Arial"/>
        </w:rPr>
        <w:lastRenderedPageBreak/>
        <w:t>spolupráce (zejména do</w:t>
      </w:r>
      <w:r w:rsidRPr="00067A98">
        <w:rPr>
          <w:rFonts w:ascii="Arial" w:hAnsi="Arial" w:cs="Arial"/>
        </w:rPr>
        <w:t xml:space="preserve">ba poskytnutí požadované </w:t>
      </w:r>
      <w:r w:rsidRPr="00E80151">
        <w:rPr>
          <w:rFonts w:ascii="Arial" w:hAnsi="Arial" w:cs="Arial"/>
        </w:rPr>
        <w:t>služ</w:t>
      </w:r>
      <w:r w:rsidRPr="00067A98">
        <w:rPr>
          <w:rFonts w:ascii="Arial" w:hAnsi="Arial" w:cs="Arial"/>
        </w:rPr>
        <w:t xml:space="preserve">by a odměna </w:t>
      </w:r>
      <w:r>
        <w:rPr>
          <w:rFonts w:ascii="Arial" w:hAnsi="Arial" w:cs="Arial"/>
        </w:rPr>
        <w:t>Poradci</w:t>
      </w:r>
      <w:r w:rsidRPr="00E80151">
        <w:rPr>
          <w:rFonts w:ascii="Arial" w:hAnsi="Arial" w:cs="Arial"/>
        </w:rPr>
        <w:t xml:space="preserve">) budou vždy Smluvními stranami sjednány samostatně s ohledem na charakter uvažované změny. </w:t>
      </w:r>
      <w:r w:rsidR="00E80151">
        <w:rPr>
          <w:rFonts w:ascii="Arial" w:hAnsi="Arial" w:cs="Arial"/>
        </w:rPr>
        <w:t xml:space="preserve">Celkový cenový nárůst související se změnami </w:t>
      </w:r>
      <w:r w:rsidR="005944F4">
        <w:rPr>
          <w:rFonts w:ascii="Arial" w:hAnsi="Arial" w:cs="Arial"/>
        </w:rPr>
        <w:t xml:space="preserve">nepřesáhne 30 % z původní ceny plnění. </w:t>
      </w:r>
    </w:p>
    <w:p w14:paraId="6A4B940F" w14:textId="1D10B680" w:rsidR="00067A98" w:rsidRPr="00E80151" w:rsidRDefault="00E80151" w:rsidP="0003297D">
      <w:pPr>
        <w:pStyle w:val="Odstavecseseznamem"/>
        <w:numPr>
          <w:ilvl w:val="1"/>
          <w:numId w:val="57"/>
        </w:numPr>
        <w:tabs>
          <w:tab w:val="left" w:pos="425"/>
        </w:tabs>
        <w:spacing w:after="60"/>
        <w:contextualSpacing w:val="0"/>
        <w:rPr>
          <w:rFonts w:ascii="Arial" w:hAnsi="Arial" w:cs="Arial"/>
        </w:rPr>
      </w:pPr>
      <w:r w:rsidRPr="00E80151">
        <w:rPr>
          <w:rFonts w:ascii="Arial" w:hAnsi="Arial" w:cs="Arial"/>
        </w:rPr>
        <w:t>Objednatel si vyhrazuje právo na prodloužení doby plnění, maximálně však o 6 měsíců. Toto právo může být uplatněno po celou dobu trvání smlouvy nejpozději však v průběhu posledního měsíce plnění smlouvy.</w:t>
      </w:r>
    </w:p>
    <w:p w14:paraId="300FD5B2" w14:textId="77777777" w:rsidR="00E80151" w:rsidRPr="00E80151" w:rsidRDefault="00E80151" w:rsidP="005944F4">
      <w:pPr>
        <w:pStyle w:val="Odstavecseseznamem"/>
        <w:numPr>
          <w:ilvl w:val="0"/>
          <w:numId w:val="0"/>
        </w:numPr>
        <w:tabs>
          <w:tab w:val="left" w:pos="425"/>
        </w:tabs>
        <w:spacing w:after="60"/>
        <w:ind w:left="357"/>
        <w:contextualSpacing w:val="0"/>
        <w:rPr>
          <w:rFonts w:ascii="Arial" w:hAnsi="Arial" w:cs="Arial"/>
        </w:rPr>
      </w:pPr>
    </w:p>
    <w:p w14:paraId="6376085B" w14:textId="77777777" w:rsidR="00067A98" w:rsidRDefault="00067A98" w:rsidP="00773455">
      <w:pPr>
        <w:spacing w:after="0"/>
        <w:rPr>
          <w:rFonts w:ascii="Arial" w:hAnsi="Arial" w:cs="Arial"/>
          <w:szCs w:val="22"/>
        </w:rPr>
      </w:pPr>
    </w:p>
    <w:p w14:paraId="03F005D2" w14:textId="77777777" w:rsidR="00EF45EA" w:rsidRDefault="002C052A" w:rsidP="002C052A">
      <w:pPr>
        <w:pStyle w:val="Zkladntextodsazen"/>
        <w:numPr>
          <w:ilvl w:val="0"/>
          <w:numId w:val="6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informací</w:t>
      </w:r>
    </w:p>
    <w:p w14:paraId="2A1BF93F" w14:textId="77777777" w:rsidR="002C052A" w:rsidRPr="002C052A" w:rsidRDefault="002C052A" w:rsidP="002C052A">
      <w:pPr>
        <w:pStyle w:val="Zkladntextodsazen"/>
        <w:spacing w:line="276" w:lineRule="auto"/>
        <w:ind w:left="1080" w:firstLine="0"/>
        <w:rPr>
          <w:rFonts w:ascii="Arial" w:hAnsi="Arial" w:cs="Arial"/>
          <w:b/>
          <w:sz w:val="22"/>
          <w:szCs w:val="22"/>
        </w:rPr>
      </w:pPr>
    </w:p>
    <w:p w14:paraId="0E35A2F5" w14:textId="77777777" w:rsidR="002C052A" w:rsidRDefault="00EF45EA" w:rsidP="00C616B5">
      <w:pPr>
        <w:pStyle w:val="Odstavecseseznamem"/>
        <w:numPr>
          <w:ilvl w:val="0"/>
          <w:numId w:val="35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 w:rsidRPr="002C052A">
        <w:rPr>
          <w:rFonts w:ascii="Arial" w:hAnsi="Arial" w:cs="Arial"/>
          <w:szCs w:val="22"/>
        </w:rPr>
        <w:t>Veškeré informace sdělené kteroukoliv ze Smluvních stran při plnění povinností dle této Smlouvy,</w:t>
      </w:r>
      <w:r w:rsidR="002C052A"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jsou považovány za důvěrné a nesmí být zpřístupněny či jakýmkoliv jiným způsob sděleny</w:t>
      </w:r>
      <w:r w:rsidR="002C052A"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třetí osobě bez předchozího souhlasu, s výjimkou informací, které byly v okamžiku sdělení</w:t>
      </w:r>
      <w:r w:rsidR="002C052A"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veřejně známé nebo informací, které Smluvní strany získaly od třetích osob.</w:t>
      </w:r>
    </w:p>
    <w:p w14:paraId="3AB945E7" w14:textId="3D7B151D" w:rsidR="002C052A" w:rsidRDefault="001871C0" w:rsidP="00C616B5">
      <w:pPr>
        <w:pStyle w:val="Odstavecseseznamem"/>
        <w:numPr>
          <w:ilvl w:val="0"/>
          <w:numId w:val="35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EF45EA" w:rsidRPr="002C052A">
        <w:rPr>
          <w:rFonts w:ascii="Arial" w:hAnsi="Arial" w:cs="Arial"/>
          <w:szCs w:val="22"/>
        </w:rPr>
        <w:t xml:space="preserve"> se zavazuje, že osobní údaje uvedené ve smlouvě a případně osobní údaje, ke kterým</w:t>
      </w:r>
      <w:r w:rsidR="002C052A">
        <w:rPr>
          <w:rFonts w:ascii="Arial" w:hAnsi="Arial" w:cs="Arial"/>
          <w:szCs w:val="22"/>
        </w:rPr>
        <w:t xml:space="preserve"> </w:t>
      </w:r>
      <w:r w:rsidR="00EF45EA" w:rsidRPr="002C052A">
        <w:rPr>
          <w:rFonts w:ascii="Arial" w:hAnsi="Arial" w:cs="Arial"/>
          <w:szCs w:val="22"/>
        </w:rPr>
        <w:t xml:space="preserve">získá přístup, použije a bude </w:t>
      </w:r>
      <w:r w:rsidR="002C052A">
        <w:rPr>
          <w:rFonts w:ascii="Arial" w:hAnsi="Arial" w:cs="Arial"/>
          <w:szCs w:val="22"/>
        </w:rPr>
        <w:t>chránit</w:t>
      </w:r>
      <w:r w:rsidR="00EF45EA" w:rsidRPr="002C052A">
        <w:rPr>
          <w:rFonts w:ascii="Arial" w:hAnsi="Arial" w:cs="Arial"/>
          <w:szCs w:val="22"/>
        </w:rPr>
        <w:t xml:space="preserve"> v souladu s Nařízením Evropského parlamentu a Rady</w:t>
      </w:r>
      <w:r w:rsidR="002C052A">
        <w:rPr>
          <w:rFonts w:ascii="Arial" w:hAnsi="Arial" w:cs="Arial"/>
          <w:szCs w:val="22"/>
        </w:rPr>
        <w:t xml:space="preserve"> </w:t>
      </w:r>
      <w:r w:rsidR="00EF45EA" w:rsidRPr="002C052A">
        <w:rPr>
          <w:rFonts w:ascii="Arial" w:hAnsi="Arial" w:cs="Arial"/>
          <w:szCs w:val="22"/>
        </w:rPr>
        <w:t>(EU) 2016/679, o ochraně fyzických osob v souvislosti se zpracováním osobních údajů</w:t>
      </w:r>
      <w:r w:rsidR="002C052A">
        <w:rPr>
          <w:rFonts w:ascii="Arial" w:hAnsi="Arial" w:cs="Arial"/>
          <w:szCs w:val="22"/>
        </w:rPr>
        <w:t xml:space="preserve"> </w:t>
      </w:r>
      <w:r w:rsidR="00EF45EA" w:rsidRPr="002C052A">
        <w:rPr>
          <w:rFonts w:ascii="Arial" w:hAnsi="Arial" w:cs="Arial"/>
          <w:szCs w:val="22"/>
        </w:rPr>
        <w:t>a o volném pohybu těchto údajů a o zrušení směrnice 95/46/ES (obecné nařízení o ochraně</w:t>
      </w:r>
      <w:r w:rsidR="00B262BD">
        <w:rPr>
          <w:rFonts w:ascii="Arial" w:hAnsi="Arial" w:cs="Arial"/>
          <w:szCs w:val="22"/>
        </w:rPr>
        <w:t xml:space="preserve"> osobních údajů), zákonem č. </w:t>
      </w:r>
      <w:r w:rsidR="002C052A">
        <w:rPr>
          <w:rFonts w:ascii="Arial" w:hAnsi="Arial" w:cs="Arial"/>
          <w:szCs w:val="22"/>
        </w:rPr>
        <w:t>110/2019, o zpracování osobních údajů a dalšími platnými právními předpisy ošetřujícími oblast ochrany osobních údajů.</w:t>
      </w:r>
    </w:p>
    <w:p w14:paraId="70BB91E5" w14:textId="77777777" w:rsidR="00773455" w:rsidRDefault="002C052A" w:rsidP="00C616B5">
      <w:pPr>
        <w:pStyle w:val="Odstavecseseznamem"/>
        <w:numPr>
          <w:ilvl w:val="0"/>
          <w:numId w:val="35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2C052A">
        <w:rPr>
          <w:rFonts w:ascii="Arial" w:hAnsi="Arial" w:cs="Arial"/>
          <w:szCs w:val="22"/>
        </w:rPr>
        <w:t>Smluvní strany si sjednávají, že pokud některá ze smluvních stran poruší jakoukoli svou povinnost</w:t>
      </w:r>
      <w:r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dle tohoto článku, náleží druhé smluvní straně smluvní pokuta ve výši 100.000,- Kč.</w:t>
      </w:r>
      <w:r>
        <w:rPr>
          <w:rFonts w:ascii="Arial" w:hAnsi="Arial" w:cs="Arial"/>
          <w:szCs w:val="22"/>
        </w:rPr>
        <w:t xml:space="preserve"> Zaplacením smluvní pokuty není dotčeno právo Objednatele na náhradu škody.</w:t>
      </w:r>
    </w:p>
    <w:p w14:paraId="66D8FC5E" w14:textId="77777777" w:rsidR="002C052A" w:rsidRPr="002C052A" w:rsidRDefault="002C052A" w:rsidP="002C052A">
      <w:pPr>
        <w:spacing w:after="0"/>
        <w:ind w:left="720" w:hanging="360"/>
        <w:rPr>
          <w:rFonts w:ascii="Arial" w:hAnsi="Arial" w:cs="Arial"/>
          <w:szCs w:val="22"/>
        </w:rPr>
      </w:pPr>
    </w:p>
    <w:p w14:paraId="2D569DDB" w14:textId="77777777" w:rsidR="003B6BDF" w:rsidRPr="00773455" w:rsidRDefault="003B6BDF" w:rsidP="00A11C1E">
      <w:pPr>
        <w:pStyle w:val="Odstavecseseznamem"/>
        <w:numPr>
          <w:ilvl w:val="0"/>
          <w:numId w:val="6"/>
        </w:numPr>
        <w:snapToGrid w:val="0"/>
        <w:spacing w:after="0"/>
        <w:ind w:right="-108"/>
        <w:jc w:val="center"/>
        <w:rPr>
          <w:rFonts w:ascii="Arial" w:hAnsi="Arial" w:cs="Arial"/>
          <w:b/>
          <w:szCs w:val="22"/>
        </w:rPr>
      </w:pPr>
      <w:r w:rsidRPr="00773455">
        <w:rPr>
          <w:rFonts w:ascii="Arial" w:hAnsi="Arial" w:cs="Arial"/>
          <w:b/>
          <w:szCs w:val="22"/>
        </w:rPr>
        <w:t>Cena a platební podmínky</w:t>
      </w:r>
    </w:p>
    <w:p w14:paraId="6EF2B020" w14:textId="77777777" w:rsidR="00773455" w:rsidRPr="00773455" w:rsidRDefault="00773455" w:rsidP="00773455">
      <w:pPr>
        <w:pStyle w:val="Odstavecseseznamem"/>
        <w:numPr>
          <w:ilvl w:val="0"/>
          <w:numId w:val="0"/>
        </w:numPr>
        <w:snapToGrid w:val="0"/>
        <w:spacing w:after="0"/>
        <w:ind w:left="1080" w:right="-108"/>
        <w:rPr>
          <w:rFonts w:ascii="Arial" w:hAnsi="Arial" w:cs="Arial"/>
          <w:b/>
          <w:szCs w:val="22"/>
        </w:rPr>
      </w:pPr>
    </w:p>
    <w:p w14:paraId="6F5BA618" w14:textId="0734DAD7" w:rsidR="00583717" w:rsidRDefault="00583717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 w:rsidRPr="00EF45EA">
        <w:rPr>
          <w:rFonts w:ascii="Arial" w:hAnsi="Arial" w:cs="Arial"/>
          <w:szCs w:val="22"/>
        </w:rPr>
        <w:t xml:space="preserve">Objednatel se zavazuje zaplatit </w:t>
      </w:r>
      <w:r w:rsidR="001871C0">
        <w:rPr>
          <w:rFonts w:ascii="Arial" w:hAnsi="Arial" w:cs="Arial"/>
          <w:szCs w:val="22"/>
        </w:rPr>
        <w:t>Poradc</w:t>
      </w:r>
      <w:r w:rsidRPr="00EF45EA">
        <w:rPr>
          <w:rFonts w:ascii="Arial" w:hAnsi="Arial" w:cs="Arial"/>
          <w:szCs w:val="22"/>
        </w:rPr>
        <w:t>i za služby poskytované dle čl. II. odst. 1. této Smlouvy</w:t>
      </w:r>
      <w:r w:rsidR="00F204C7" w:rsidRPr="00EF45EA">
        <w:rPr>
          <w:rFonts w:ascii="Arial" w:hAnsi="Arial" w:cs="Arial"/>
          <w:szCs w:val="22"/>
        </w:rPr>
        <w:t xml:space="preserve"> </w:t>
      </w:r>
      <w:r w:rsidR="00EF45EA" w:rsidRPr="00EF45EA">
        <w:rPr>
          <w:rFonts w:ascii="Arial" w:hAnsi="Arial" w:cs="Arial"/>
          <w:szCs w:val="22"/>
        </w:rPr>
        <w:t xml:space="preserve">odměnu ve výši </w:t>
      </w:r>
      <w:bookmarkStart w:id="0" w:name="_GoBack"/>
      <w:bookmarkEnd w:id="0"/>
      <w:proofErr w:type="spellStart"/>
      <w:r w:rsidR="00EF45EA" w:rsidRPr="009869CE">
        <w:rPr>
          <w:rFonts w:ascii="Arial" w:hAnsi="Arial" w:cs="Arial"/>
          <w:szCs w:val="22"/>
          <w:highlight w:val="cyan"/>
        </w:rPr>
        <w:t>xxx</w:t>
      </w:r>
      <w:proofErr w:type="spellEnd"/>
      <w:r w:rsidRPr="009869CE">
        <w:rPr>
          <w:rFonts w:ascii="Arial" w:hAnsi="Arial" w:cs="Arial"/>
          <w:szCs w:val="22"/>
          <w:highlight w:val="cyan"/>
        </w:rPr>
        <w:t>,-</w:t>
      </w:r>
      <w:r w:rsidRPr="00EF45EA">
        <w:rPr>
          <w:rFonts w:ascii="Arial" w:hAnsi="Arial" w:cs="Arial"/>
          <w:szCs w:val="22"/>
        </w:rPr>
        <w:t xml:space="preserve"> Kč bez DPH.</w:t>
      </w:r>
    </w:p>
    <w:p w14:paraId="318A8599" w14:textId="48812130" w:rsidR="00CF3400" w:rsidRDefault="00CF3400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 hlediska zákona o DPH se poskyt</w:t>
      </w:r>
      <w:r w:rsidR="00A54C3D">
        <w:rPr>
          <w:rFonts w:ascii="Arial" w:hAnsi="Arial" w:cs="Arial"/>
          <w:szCs w:val="22"/>
        </w:rPr>
        <w:t>ovaný předmět smlouvy člení do 5</w:t>
      </w:r>
      <w:r>
        <w:rPr>
          <w:rFonts w:ascii="Arial" w:hAnsi="Arial" w:cs="Arial"/>
          <w:szCs w:val="22"/>
        </w:rPr>
        <w:t xml:space="preserve"> dílčích částí:</w:t>
      </w:r>
    </w:p>
    <w:p w14:paraId="7F3401B7" w14:textId="6BA2AED7" w:rsidR="00CF3400" w:rsidRDefault="00CF340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První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.1</w:t>
      </w:r>
      <w:proofErr w:type="gramEnd"/>
      <w:r>
        <w:rPr>
          <w:rFonts w:ascii="Arial" w:hAnsi="Arial" w:cs="Arial"/>
          <w:szCs w:val="22"/>
        </w:rPr>
        <w:t xml:space="preserve"> této Smlouvy). Cena první dílčí části je stanovena ve výši </w:t>
      </w:r>
      <w:proofErr w:type="spellStart"/>
      <w:r w:rsidR="0081376B" w:rsidRPr="005C2E0E">
        <w:rPr>
          <w:rFonts w:ascii="Arial" w:hAnsi="Arial" w:cs="Arial"/>
          <w:szCs w:val="22"/>
          <w:highlight w:val="cyan"/>
        </w:rPr>
        <w:t>x</w:t>
      </w:r>
      <w:r w:rsidRPr="005C2E0E">
        <w:rPr>
          <w:rFonts w:ascii="Arial" w:hAnsi="Arial" w:cs="Arial"/>
          <w:szCs w:val="22"/>
          <w:highlight w:val="cyan"/>
        </w:rPr>
        <w:t>xx</w:t>
      </w:r>
      <w:proofErr w:type="spellEnd"/>
      <w:r w:rsidR="0081376B">
        <w:rPr>
          <w:rFonts w:ascii="Arial" w:hAnsi="Arial" w:cs="Arial"/>
          <w:szCs w:val="22"/>
        </w:rPr>
        <w:t>,-</w:t>
      </w:r>
      <w:r>
        <w:rPr>
          <w:rFonts w:ascii="Arial" w:hAnsi="Arial" w:cs="Arial"/>
          <w:szCs w:val="22"/>
        </w:rPr>
        <w:t xml:space="preserve"> Kč bez DPH. Vyúčtování za první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první dílčí části. Dnem uskutečnění zdanitelného plnění bude den převzetí první dílčí části Objednatelem na základě dílčího předávacího protokolu.</w:t>
      </w:r>
    </w:p>
    <w:p w14:paraId="39CD71C5" w14:textId="028E27C5" w:rsidR="001871C0" w:rsidRPr="00EF45EA" w:rsidRDefault="001871C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Druhá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.2</w:t>
      </w:r>
      <w:proofErr w:type="gramEnd"/>
      <w:r>
        <w:rPr>
          <w:rFonts w:ascii="Arial" w:hAnsi="Arial" w:cs="Arial"/>
          <w:szCs w:val="22"/>
        </w:rPr>
        <w:t xml:space="preserve"> této Smlouvy). Cena druhé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>,-</w:t>
      </w:r>
      <w:r w:rsidR="00B262BD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 bez DPH. Vyúčtování za druhou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</w:t>
      </w:r>
      <w:r w:rsidR="00743D06">
        <w:rPr>
          <w:rFonts w:ascii="Arial" w:hAnsi="Arial" w:cs="Arial"/>
          <w:szCs w:val="22"/>
        </w:rPr>
        <w:t>druhé</w:t>
      </w:r>
      <w:r>
        <w:rPr>
          <w:rFonts w:ascii="Arial" w:hAnsi="Arial" w:cs="Arial"/>
          <w:szCs w:val="22"/>
        </w:rPr>
        <w:t xml:space="preserve"> dílčí části. Dnem uskutečnění zdanitelného plnění bude den převzetí </w:t>
      </w:r>
      <w:r w:rsidR="00E32859">
        <w:rPr>
          <w:rFonts w:ascii="Arial" w:hAnsi="Arial" w:cs="Arial"/>
          <w:szCs w:val="22"/>
        </w:rPr>
        <w:t>druhé</w:t>
      </w:r>
      <w:r w:rsidR="00B262BD">
        <w:rPr>
          <w:rFonts w:ascii="Arial" w:hAnsi="Arial" w:cs="Arial"/>
          <w:szCs w:val="22"/>
        </w:rPr>
        <w:t xml:space="preserve"> dílčí části Objednatelem na </w:t>
      </w:r>
      <w:r>
        <w:rPr>
          <w:rFonts w:ascii="Arial" w:hAnsi="Arial" w:cs="Arial"/>
          <w:szCs w:val="22"/>
        </w:rPr>
        <w:t>základě dílčího předávacího protokolu.</w:t>
      </w:r>
    </w:p>
    <w:p w14:paraId="44881F50" w14:textId="02F94EA7" w:rsidR="001871C0" w:rsidRPr="00EF45EA" w:rsidRDefault="001871C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Třetí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.3</w:t>
      </w:r>
      <w:proofErr w:type="gramEnd"/>
      <w:r>
        <w:rPr>
          <w:rFonts w:ascii="Arial" w:hAnsi="Arial" w:cs="Arial"/>
          <w:szCs w:val="22"/>
        </w:rPr>
        <w:t xml:space="preserve"> této Smlouvy). Cena třetí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 xml:space="preserve">,- Kč bez DPH. Vyúčtování za </w:t>
      </w:r>
      <w:r w:rsidR="00B262BD">
        <w:rPr>
          <w:rFonts w:ascii="Arial" w:hAnsi="Arial" w:cs="Arial"/>
          <w:szCs w:val="22"/>
        </w:rPr>
        <w:t>třetí</w:t>
      </w:r>
      <w:r>
        <w:rPr>
          <w:rFonts w:ascii="Arial" w:hAnsi="Arial" w:cs="Arial"/>
          <w:szCs w:val="22"/>
        </w:rPr>
        <w:t xml:space="preserve">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</w:t>
      </w:r>
      <w:r w:rsidR="00E32859">
        <w:rPr>
          <w:rFonts w:ascii="Arial" w:hAnsi="Arial" w:cs="Arial"/>
          <w:szCs w:val="22"/>
        </w:rPr>
        <w:t>třetí</w:t>
      </w:r>
      <w:r>
        <w:rPr>
          <w:rFonts w:ascii="Arial" w:hAnsi="Arial" w:cs="Arial"/>
          <w:szCs w:val="22"/>
        </w:rPr>
        <w:t xml:space="preserve"> dílčí části. Dnem uskutečnění zdanitelného plnění bude den převzetí </w:t>
      </w:r>
      <w:r w:rsidR="00E32859">
        <w:rPr>
          <w:rFonts w:ascii="Arial" w:hAnsi="Arial" w:cs="Arial"/>
          <w:szCs w:val="22"/>
        </w:rPr>
        <w:t>třetí dílčí části Objednatelem na </w:t>
      </w:r>
      <w:r>
        <w:rPr>
          <w:rFonts w:ascii="Arial" w:hAnsi="Arial" w:cs="Arial"/>
          <w:szCs w:val="22"/>
        </w:rPr>
        <w:t>základě dílčího předávacího protokolu.</w:t>
      </w:r>
    </w:p>
    <w:p w14:paraId="7A100502" w14:textId="53B237EF" w:rsidR="001871C0" w:rsidRDefault="001871C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Čtvrtá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.4</w:t>
      </w:r>
      <w:proofErr w:type="gramEnd"/>
      <w:r>
        <w:rPr>
          <w:rFonts w:ascii="Arial" w:hAnsi="Arial" w:cs="Arial"/>
          <w:szCs w:val="22"/>
        </w:rPr>
        <w:t xml:space="preserve"> této Smlouvy). Cena čtvrté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 xml:space="preserve">,- Kč bez DPH. Vyúčtování za </w:t>
      </w:r>
      <w:r w:rsidR="00743D06">
        <w:rPr>
          <w:rFonts w:ascii="Arial" w:hAnsi="Arial" w:cs="Arial"/>
          <w:szCs w:val="22"/>
        </w:rPr>
        <w:t>čtvrtou</w:t>
      </w:r>
      <w:r>
        <w:rPr>
          <w:rFonts w:ascii="Arial" w:hAnsi="Arial" w:cs="Arial"/>
          <w:szCs w:val="22"/>
        </w:rPr>
        <w:t xml:space="preserve">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</w:t>
      </w:r>
      <w:r w:rsidR="00E32859">
        <w:rPr>
          <w:rFonts w:ascii="Arial" w:hAnsi="Arial" w:cs="Arial"/>
          <w:szCs w:val="22"/>
        </w:rPr>
        <w:t>čtvrté</w:t>
      </w:r>
      <w:r>
        <w:rPr>
          <w:rFonts w:ascii="Arial" w:hAnsi="Arial" w:cs="Arial"/>
          <w:szCs w:val="22"/>
        </w:rPr>
        <w:t xml:space="preserve"> dílčí části. Dnem uskutečnění zdanitelného plnění bude den převzetí </w:t>
      </w:r>
      <w:r w:rsidR="00E32859">
        <w:rPr>
          <w:rFonts w:ascii="Arial" w:hAnsi="Arial" w:cs="Arial"/>
          <w:szCs w:val="22"/>
        </w:rPr>
        <w:t>čtvrté</w:t>
      </w:r>
      <w:r w:rsidR="00B262BD">
        <w:rPr>
          <w:rFonts w:ascii="Arial" w:hAnsi="Arial" w:cs="Arial"/>
          <w:szCs w:val="22"/>
        </w:rPr>
        <w:t xml:space="preserve"> dílčí části Objednatelem na </w:t>
      </w:r>
      <w:r>
        <w:rPr>
          <w:rFonts w:ascii="Arial" w:hAnsi="Arial" w:cs="Arial"/>
          <w:szCs w:val="22"/>
        </w:rPr>
        <w:t>základě dílčího předávacího protokolu.</w:t>
      </w:r>
    </w:p>
    <w:p w14:paraId="77189CE5" w14:textId="04BDB1C1" w:rsidR="005944F4" w:rsidRPr="001871C0" w:rsidRDefault="005944F4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Pátá dílčí část (viz bod </w:t>
      </w:r>
      <w:proofErr w:type="gramStart"/>
      <w:r>
        <w:rPr>
          <w:rFonts w:ascii="Arial" w:hAnsi="Arial" w:cs="Arial"/>
          <w:szCs w:val="22"/>
        </w:rPr>
        <w:t>II.1.5</w:t>
      </w:r>
      <w:proofErr w:type="gramEnd"/>
      <w:r>
        <w:rPr>
          <w:rFonts w:ascii="Arial" w:hAnsi="Arial" w:cs="Arial"/>
          <w:szCs w:val="22"/>
        </w:rPr>
        <w:t xml:space="preserve"> této Smlouvy). Cena páté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 xml:space="preserve">,- Kč bez DPH/ hodina. Vyúčtování za pátou dílčí část bude provedeno </w:t>
      </w:r>
      <w:r w:rsidR="005C2E0E">
        <w:rPr>
          <w:rFonts w:ascii="Arial" w:hAnsi="Arial" w:cs="Arial"/>
          <w:szCs w:val="22"/>
        </w:rPr>
        <w:t>po skončení kalendářního měsíce, ve kterém bylo plnění dle páté dílčí části poskytnuto.</w:t>
      </w:r>
      <w:r w:rsidR="009E721A">
        <w:rPr>
          <w:rFonts w:ascii="Arial" w:hAnsi="Arial" w:cs="Arial"/>
          <w:szCs w:val="22"/>
        </w:rPr>
        <w:t xml:space="preserve"> </w:t>
      </w:r>
      <w:r w:rsidR="005C2E0E">
        <w:rPr>
          <w:rFonts w:ascii="Arial" w:hAnsi="Arial" w:cs="Arial"/>
          <w:szCs w:val="22"/>
        </w:rPr>
        <w:t>Dnem uskutečnění zdanitelného plnění bude poslední den příslušného měsíce</w:t>
      </w:r>
      <w:r>
        <w:rPr>
          <w:rFonts w:ascii="Arial" w:hAnsi="Arial" w:cs="Arial"/>
          <w:szCs w:val="22"/>
        </w:rPr>
        <w:t>.</w:t>
      </w:r>
    </w:p>
    <w:p w14:paraId="29FFEB45" w14:textId="1562A1DB" w:rsidR="00F204C7" w:rsidRDefault="001871C0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Poradce</w:t>
      </w:r>
      <w:r w:rsidR="00863E0E">
        <w:rPr>
          <w:rFonts w:ascii="Arial" w:hAnsi="Arial" w:cs="Arial"/>
          <w:szCs w:val="22"/>
        </w:rPr>
        <w:t xml:space="preserve"> vystaví </w:t>
      </w:r>
      <w:r w:rsidR="004454AF">
        <w:rPr>
          <w:rFonts w:ascii="Arial" w:hAnsi="Arial" w:cs="Arial"/>
          <w:szCs w:val="22"/>
        </w:rPr>
        <w:t xml:space="preserve">fakturu - </w:t>
      </w:r>
      <w:r w:rsidR="00863E0E">
        <w:rPr>
          <w:rFonts w:ascii="Arial" w:hAnsi="Arial" w:cs="Arial"/>
          <w:szCs w:val="22"/>
        </w:rPr>
        <w:t xml:space="preserve">daňový </w:t>
      </w:r>
      <w:r w:rsidR="00227132">
        <w:rPr>
          <w:rFonts w:ascii="Arial" w:hAnsi="Arial" w:cs="Arial"/>
          <w:szCs w:val="22"/>
        </w:rPr>
        <w:t>doklad</w:t>
      </w:r>
      <w:r w:rsidR="004454AF">
        <w:rPr>
          <w:rFonts w:ascii="Arial" w:hAnsi="Arial" w:cs="Arial"/>
          <w:szCs w:val="22"/>
        </w:rPr>
        <w:t>,</w:t>
      </w:r>
      <w:r w:rsidR="00227132">
        <w:rPr>
          <w:rFonts w:ascii="Arial" w:hAnsi="Arial" w:cs="Arial"/>
          <w:szCs w:val="22"/>
        </w:rPr>
        <w:t xml:space="preserve"> </w:t>
      </w:r>
      <w:r w:rsidR="00863E0E">
        <w:rPr>
          <w:rFonts w:ascii="Arial" w:hAnsi="Arial" w:cs="Arial"/>
          <w:szCs w:val="22"/>
        </w:rPr>
        <w:t>do 15 dnů ode dne uskutečnění zdanitelného plnění</w:t>
      </w:r>
      <w:r w:rsidR="00FE6555">
        <w:rPr>
          <w:rFonts w:ascii="Arial" w:hAnsi="Arial" w:cs="Arial"/>
          <w:szCs w:val="22"/>
        </w:rPr>
        <w:t>.</w:t>
      </w:r>
      <w:r w:rsidR="004454AF">
        <w:rPr>
          <w:rFonts w:ascii="Arial" w:hAnsi="Arial" w:cs="Arial"/>
          <w:szCs w:val="22"/>
        </w:rPr>
        <w:t xml:space="preserve"> </w:t>
      </w:r>
      <w:r w:rsidR="00583717" w:rsidRPr="00EF45EA">
        <w:rPr>
          <w:rFonts w:ascii="Arial" w:hAnsi="Arial" w:cs="Arial"/>
          <w:szCs w:val="22"/>
        </w:rPr>
        <w:t>Splatnost faktu</w:t>
      </w:r>
      <w:r w:rsidR="00EF45EA">
        <w:rPr>
          <w:rFonts w:ascii="Arial" w:hAnsi="Arial" w:cs="Arial"/>
          <w:szCs w:val="22"/>
        </w:rPr>
        <w:t>ry</w:t>
      </w:r>
      <w:r w:rsidR="00583717" w:rsidRPr="00EF45EA">
        <w:rPr>
          <w:rFonts w:ascii="Arial" w:hAnsi="Arial" w:cs="Arial"/>
          <w:szCs w:val="22"/>
        </w:rPr>
        <w:t xml:space="preserve"> činí 30 kalendářních dnů</w:t>
      </w:r>
      <w:r w:rsidR="00863E0E">
        <w:rPr>
          <w:rFonts w:ascii="Arial" w:hAnsi="Arial" w:cs="Arial"/>
          <w:szCs w:val="22"/>
        </w:rPr>
        <w:t xml:space="preserve"> od doručení </w:t>
      </w:r>
      <w:r w:rsidR="004454AF">
        <w:rPr>
          <w:rFonts w:ascii="Arial" w:hAnsi="Arial" w:cs="Arial"/>
          <w:szCs w:val="22"/>
        </w:rPr>
        <w:t xml:space="preserve">daňového dokladu </w:t>
      </w:r>
      <w:r w:rsidR="00863E0E">
        <w:rPr>
          <w:rFonts w:ascii="Arial" w:hAnsi="Arial" w:cs="Arial"/>
          <w:szCs w:val="22"/>
        </w:rPr>
        <w:t>Objednateli</w:t>
      </w:r>
      <w:r w:rsidR="00583717" w:rsidRPr="00EF45EA">
        <w:rPr>
          <w:rFonts w:ascii="Arial" w:hAnsi="Arial" w:cs="Arial"/>
          <w:szCs w:val="22"/>
        </w:rPr>
        <w:t>.</w:t>
      </w:r>
      <w:r w:rsidR="00863E0E">
        <w:rPr>
          <w:rFonts w:ascii="Arial" w:hAnsi="Arial" w:cs="Arial"/>
          <w:szCs w:val="22"/>
        </w:rPr>
        <w:t xml:space="preserve"> </w:t>
      </w:r>
    </w:p>
    <w:p w14:paraId="7D04ABBE" w14:textId="1D23A7A9" w:rsidR="00863E0E" w:rsidRPr="00EF45EA" w:rsidRDefault="00863E0E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se dohodly na platbách formou bezhotovostního bankovního převodu</w:t>
      </w:r>
      <w:r w:rsidR="00774D1D">
        <w:rPr>
          <w:rFonts w:ascii="Arial" w:hAnsi="Arial" w:cs="Arial"/>
          <w:szCs w:val="22"/>
        </w:rPr>
        <w:t xml:space="preserve"> </w:t>
      </w:r>
      <w:r w:rsidR="00227132">
        <w:rPr>
          <w:rFonts w:ascii="Arial" w:hAnsi="Arial" w:cs="Arial"/>
          <w:szCs w:val="22"/>
        </w:rPr>
        <w:t>na účet uvedený ve faktuře</w:t>
      </w:r>
      <w:r>
        <w:rPr>
          <w:rFonts w:ascii="Arial" w:hAnsi="Arial" w:cs="Arial"/>
          <w:szCs w:val="22"/>
        </w:rPr>
        <w:t>.</w:t>
      </w:r>
      <w:r w:rsidR="00774D1D">
        <w:rPr>
          <w:rFonts w:ascii="Arial" w:hAnsi="Arial" w:cs="Arial"/>
          <w:szCs w:val="22"/>
        </w:rPr>
        <w:t xml:space="preserve"> Za správnost údajů o svém účtu odpovídá </w:t>
      </w:r>
      <w:r w:rsidR="001871C0">
        <w:rPr>
          <w:rFonts w:ascii="Arial" w:hAnsi="Arial" w:cs="Arial"/>
          <w:szCs w:val="22"/>
        </w:rPr>
        <w:t>Poradce</w:t>
      </w:r>
      <w:r w:rsidR="00774D1D">
        <w:rPr>
          <w:rFonts w:ascii="Arial" w:hAnsi="Arial" w:cs="Arial"/>
          <w:szCs w:val="22"/>
        </w:rPr>
        <w:t xml:space="preserve">. Bankovní účet </w:t>
      </w:r>
      <w:r w:rsidR="001871C0">
        <w:rPr>
          <w:rFonts w:ascii="Arial" w:hAnsi="Arial" w:cs="Arial"/>
          <w:szCs w:val="22"/>
        </w:rPr>
        <w:t>Poradc</w:t>
      </w:r>
      <w:r w:rsidR="00774D1D">
        <w:rPr>
          <w:rFonts w:ascii="Arial" w:hAnsi="Arial" w:cs="Arial"/>
          <w:szCs w:val="22"/>
        </w:rPr>
        <w:t xml:space="preserve">e musí být </w:t>
      </w:r>
      <w:r w:rsidR="00774D1D" w:rsidRPr="005944F4">
        <w:rPr>
          <w:rFonts w:ascii="Arial" w:hAnsi="Arial" w:cs="Arial"/>
          <w:szCs w:val="22"/>
        </w:rPr>
        <w:t>zv</w:t>
      </w:r>
      <w:r w:rsidR="00227132" w:rsidRPr="005944F4">
        <w:rPr>
          <w:rFonts w:ascii="Arial" w:hAnsi="Arial" w:cs="Arial"/>
          <w:szCs w:val="22"/>
        </w:rPr>
        <w:t>eřejněn správcem daně způsobem</w:t>
      </w:r>
      <w:r w:rsidR="00227132">
        <w:rPr>
          <w:rFonts w:ascii="Arial" w:hAnsi="Arial" w:cs="Arial"/>
          <w:szCs w:val="22"/>
        </w:rPr>
        <w:t xml:space="preserve"> u</w:t>
      </w:r>
      <w:r w:rsidR="00774D1D">
        <w:rPr>
          <w:rFonts w:ascii="Arial" w:hAnsi="Arial" w:cs="Arial"/>
          <w:szCs w:val="22"/>
        </w:rPr>
        <w:t xml:space="preserve">možňujícím dálkový přístup. Objednatel je oprávněn vrátit </w:t>
      </w:r>
      <w:r w:rsidR="001871C0">
        <w:rPr>
          <w:rFonts w:ascii="Arial" w:hAnsi="Arial" w:cs="Arial"/>
          <w:szCs w:val="22"/>
        </w:rPr>
        <w:t>Poradc</w:t>
      </w:r>
      <w:r w:rsidR="00774D1D">
        <w:rPr>
          <w:rFonts w:ascii="Arial" w:hAnsi="Arial" w:cs="Arial"/>
          <w:szCs w:val="22"/>
        </w:rPr>
        <w:t>i před</w:t>
      </w:r>
      <w:r w:rsidR="00FE6555">
        <w:rPr>
          <w:rFonts w:ascii="Arial" w:hAnsi="Arial" w:cs="Arial"/>
          <w:szCs w:val="22"/>
        </w:rPr>
        <w:t>e</w:t>
      </w:r>
      <w:r w:rsidR="00774D1D">
        <w:rPr>
          <w:rFonts w:ascii="Arial" w:hAnsi="Arial" w:cs="Arial"/>
          <w:szCs w:val="22"/>
        </w:rPr>
        <w:t xml:space="preserve"> dnem splatnosti bez zaplacení fakturu, která nemá požadované náležitosti daňového dokladu dle zákona č. 235/2004Sb. zákona o DPH nebo vykazuje jiné závady, s uvedením důvodu vrácení.</w:t>
      </w:r>
    </w:p>
    <w:p w14:paraId="59F175FB" w14:textId="25345F82" w:rsidR="00F204C7" w:rsidRDefault="00583717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EF45EA">
        <w:rPr>
          <w:rFonts w:ascii="Arial" w:hAnsi="Arial" w:cs="Arial"/>
          <w:szCs w:val="22"/>
        </w:rPr>
        <w:t>Bude-li Objednatel</w:t>
      </w:r>
      <w:r w:rsidR="00EF45EA" w:rsidRPr="00EF45EA">
        <w:rPr>
          <w:rFonts w:ascii="Arial" w:hAnsi="Arial" w:cs="Arial"/>
          <w:szCs w:val="22"/>
        </w:rPr>
        <w:t xml:space="preserve"> v prodlení s placením odměny </w:t>
      </w:r>
      <w:r w:rsidRPr="00EF45EA">
        <w:rPr>
          <w:rFonts w:ascii="Arial" w:hAnsi="Arial" w:cs="Arial"/>
          <w:szCs w:val="22"/>
        </w:rPr>
        <w:t>dle tohoto článku, je</w:t>
      </w:r>
      <w:r w:rsidR="00F204C7" w:rsidRPr="00EF45EA">
        <w:rPr>
          <w:rFonts w:ascii="Arial" w:hAnsi="Arial" w:cs="Arial"/>
          <w:szCs w:val="22"/>
        </w:rPr>
        <w:t xml:space="preserve"> </w:t>
      </w:r>
      <w:r w:rsidRPr="00EF45EA">
        <w:rPr>
          <w:rFonts w:ascii="Arial" w:hAnsi="Arial" w:cs="Arial"/>
          <w:szCs w:val="22"/>
        </w:rPr>
        <w:t xml:space="preserve">povinen uhradit </w:t>
      </w:r>
      <w:r w:rsidR="001871C0">
        <w:rPr>
          <w:rFonts w:ascii="Arial" w:hAnsi="Arial" w:cs="Arial"/>
          <w:szCs w:val="22"/>
        </w:rPr>
        <w:t>Poradc</w:t>
      </w:r>
      <w:r w:rsidRPr="00EF45EA">
        <w:rPr>
          <w:rFonts w:ascii="Arial" w:hAnsi="Arial" w:cs="Arial"/>
          <w:szCs w:val="22"/>
        </w:rPr>
        <w:t>i úroky z prodlení ve výši 0,05 % z dlužné částky za každý den prodlení.</w:t>
      </w:r>
      <w:r w:rsidR="00F204C7" w:rsidRPr="00EF45EA">
        <w:rPr>
          <w:rFonts w:ascii="Arial" w:hAnsi="Arial" w:cs="Arial"/>
          <w:szCs w:val="22"/>
        </w:rPr>
        <w:t xml:space="preserve"> </w:t>
      </w:r>
      <w:r w:rsidRPr="00EF45EA">
        <w:rPr>
          <w:rFonts w:ascii="Arial" w:hAnsi="Arial" w:cs="Arial"/>
          <w:szCs w:val="22"/>
        </w:rPr>
        <w:t xml:space="preserve">Bude-li Objednatel v prodlení po </w:t>
      </w:r>
      <w:r w:rsidR="002C052A">
        <w:rPr>
          <w:rFonts w:ascii="Arial" w:hAnsi="Arial" w:cs="Arial"/>
          <w:szCs w:val="22"/>
        </w:rPr>
        <w:t> </w:t>
      </w:r>
      <w:r w:rsidRPr="00EF45EA">
        <w:rPr>
          <w:rFonts w:ascii="Arial" w:hAnsi="Arial" w:cs="Arial"/>
          <w:szCs w:val="22"/>
        </w:rPr>
        <w:t xml:space="preserve">dobu delší než </w:t>
      </w:r>
      <w:r w:rsidR="00EF45EA" w:rsidRPr="00EF45EA">
        <w:rPr>
          <w:rFonts w:ascii="Arial" w:hAnsi="Arial" w:cs="Arial"/>
          <w:szCs w:val="22"/>
        </w:rPr>
        <w:t>třicet</w:t>
      </w:r>
      <w:r w:rsidRPr="00EF45EA">
        <w:rPr>
          <w:rFonts w:ascii="Arial" w:hAnsi="Arial" w:cs="Arial"/>
          <w:szCs w:val="22"/>
        </w:rPr>
        <w:t xml:space="preserve"> dnů, je </w:t>
      </w:r>
      <w:r w:rsidR="001871C0">
        <w:rPr>
          <w:rFonts w:ascii="Arial" w:hAnsi="Arial" w:cs="Arial"/>
          <w:szCs w:val="22"/>
        </w:rPr>
        <w:t>Poradce</w:t>
      </w:r>
      <w:r w:rsidRPr="00EF45EA">
        <w:rPr>
          <w:rFonts w:ascii="Arial" w:hAnsi="Arial" w:cs="Arial"/>
          <w:szCs w:val="22"/>
        </w:rPr>
        <w:t xml:space="preserve"> oprávněn od této</w:t>
      </w:r>
      <w:r w:rsidR="00F204C7" w:rsidRPr="00EF45EA">
        <w:rPr>
          <w:rFonts w:ascii="Arial" w:hAnsi="Arial" w:cs="Arial"/>
          <w:szCs w:val="22"/>
        </w:rPr>
        <w:t xml:space="preserve"> </w:t>
      </w:r>
      <w:r w:rsidR="0023266D" w:rsidRPr="00EF45EA">
        <w:rPr>
          <w:rFonts w:ascii="Arial" w:hAnsi="Arial" w:cs="Arial"/>
          <w:szCs w:val="22"/>
        </w:rPr>
        <w:t>Smlouvy odstoupit.</w:t>
      </w:r>
    </w:p>
    <w:p w14:paraId="0FCC99DD" w14:textId="7B535235" w:rsidR="00774D1D" w:rsidRDefault="00774D1D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Faktura ve formátu PDF bude zaslána elektronicky na adresu </w:t>
      </w:r>
      <w:hyperlink r:id="rId9" w:history="1">
        <w:r w:rsidR="00DB63B6" w:rsidRPr="00F5748C">
          <w:rPr>
            <w:rStyle w:val="Hypertextovodkaz"/>
            <w:rFonts w:ascii="Arial" w:hAnsi="Arial" w:cs="Arial"/>
            <w:szCs w:val="22"/>
          </w:rPr>
          <w:t>elektronicka.fakturace@dpo.cz</w:t>
        </w:r>
      </w:hyperlink>
      <w:r>
        <w:rPr>
          <w:rFonts w:ascii="Arial" w:hAnsi="Arial" w:cs="Arial"/>
          <w:szCs w:val="22"/>
        </w:rPr>
        <w:t>.</w:t>
      </w:r>
    </w:p>
    <w:p w14:paraId="76F2C1BC" w14:textId="2B1829FF" w:rsidR="00DB63B6" w:rsidRPr="00EF45EA" w:rsidRDefault="00DB63B6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faktuře bude uvedeno číslo smlouvy Objednatele.</w:t>
      </w:r>
    </w:p>
    <w:p w14:paraId="26A9B3DD" w14:textId="77777777" w:rsidR="00F204C7" w:rsidRPr="00F204C7" w:rsidRDefault="00F204C7" w:rsidP="00F204C7">
      <w:pPr>
        <w:pStyle w:val="Odstavecseseznamem"/>
        <w:numPr>
          <w:ilvl w:val="0"/>
          <w:numId w:val="0"/>
        </w:numPr>
        <w:spacing w:after="0"/>
        <w:ind w:left="360"/>
        <w:rPr>
          <w:rFonts w:ascii="Arial" w:hAnsi="Arial" w:cs="Arial"/>
          <w:szCs w:val="22"/>
        </w:rPr>
      </w:pPr>
    </w:p>
    <w:p w14:paraId="5765E4F9" w14:textId="77777777" w:rsidR="003B6BDF" w:rsidRPr="0023266D" w:rsidRDefault="003B6BDF" w:rsidP="00A11C1E">
      <w:pPr>
        <w:pStyle w:val="Odstavecseseznamem"/>
        <w:numPr>
          <w:ilvl w:val="0"/>
          <w:numId w:val="6"/>
        </w:numPr>
        <w:snapToGrid w:val="0"/>
        <w:spacing w:after="0"/>
        <w:ind w:right="-108"/>
        <w:jc w:val="center"/>
        <w:rPr>
          <w:rFonts w:ascii="Arial" w:hAnsi="Arial" w:cs="Arial"/>
          <w:szCs w:val="22"/>
        </w:rPr>
      </w:pPr>
      <w:r w:rsidRPr="00583717">
        <w:rPr>
          <w:rFonts w:ascii="Arial" w:hAnsi="Arial" w:cs="Arial"/>
          <w:b/>
          <w:szCs w:val="22"/>
        </w:rPr>
        <w:t xml:space="preserve"> Závěrečná ustanovení</w:t>
      </w:r>
    </w:p>
    <w:p w14:paraId="7B0E0D6E" w14:textId="77777777" w:rsidR="0023266D" w:rsidRPr="00583717" w:rsidRDefault="0023266D" w:rsidP="0023266D">
      <w:pPr>
        <w:pStyle w:val="Odstavecseseznamem"/>
        <w:numPr>
          <w:ilvl w:val="0"/>
          <w:numId w:val="0"/>
        </w:numPr>
        <w:snapToGrid w:val="0"/>
        <w:spacing w:after="0"/>
        <w:ind w:left="1080" w:right="-108"/>
        <w:rPr>
          <w:rFonts w:ascii="Arial" w:hAnsi="Arial" w:cs="Arial"/>
          <w:szCs w:val="22"/>
        </w:rPr>
      </w:pPr>
    </w:p>
    <w:p w14:paraId="65262128" w14:textId="5023604B" w:rsidR="003B6BDF" w:rsidRPr="003B6BDF" w:rsidRDefault="003B6BDF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Objednatel podpisem této smlouvy bere na vědomí, že </w:t>
      </w:r>
      <w:r w:rsidR="001871C0">
        <w:rPr>
          <w:rFonts w:ascii="Arial" w:hAnsi="Arial" w:cs="Arial"/>
          <w:szCs w:val="22"/>
        </w:rPr>
        <w:t>Poradce</w:t>
      </w:r>
      <w:r w:rsidRPr="003B6BDF">
        <w:rPr>
          <w:rFonts w:ascii="Arial" w:hAnsi="Arial" w:cs="Arial"/>
          <w:szCs w:val="22"/>
        </w:rPr>
        <w:t xml:space="preserve"> je povinným </w:t>
      </w:r>
      <w:r w:rsidR="00B262BD">
        <w:rPr>
          <w:rFonts w:ascii="Arial" w:hAnsi="Arial" w:cs="Arial"/>
          <w:szCs w:val="22"/>
        </w:rPr>
        <w:t>subjektem v</w:t>
      </w:r>
      <w:r w:rsidR="00FE6555">
        <w:rPr>
          <w:rFonts w:ascii="Arial" w:hAnsi="Arial" w:cs="Arial"/>
          <w:szCs w:val="22"/>
        </w:rPr>
        <w:t xml:space="preserve">e smyslu zákona </w:t>
      </w:r>
      <w:r w:rsidRPr="003B6BDF">
        <w:rPr>
          <w:rFonts w:ascii="Arial" w:hAnsi="Arial" w:cs="Arial"/>
          <w:szCs w:val="22"/>
        </w:rPr>
        <w:t>č. 106/1999 Sb., o svobodném přístupu k infor</w:t>
      </w:r>
      <w:r w:rsidR="0023266D">
        <w:rPr>
          <w:rFonts w:ascii="Arial" w:hAnsi="Arial" w:cs="Arial"/>
          <w:szCs w:val="22"/>
        </w:rPr>
        <w:t xml:space="preserve">macím (dále také jen „zákon“) a v souladu </w:t>
      </w:r>
      <w:r w:rsidR="0003297D">
        <w:rPr>
          <w:rFonts w:ascii="Arial" w:hAnsi="Arial" w:cs="Arial"/>
          <w:szCs w:val="22"/>
        </w:rPr>
        <w:t xml:space="preserve">a za </w:t>
      </w:r>
      <w:r w:rsidRPr="003B6BDF">
        <w:rPr>
          <w:rFonts w:ascii="Arial" w:hAnsi="Arial" w:cs="Arial"/>
          <w:szCs w:val="22"/>
        </w:rPr>
        <w:t>podmínek stanovených v zákoně je povinen tuto smlouvu, příp</w:t>
      </w:r>
      <w:r w:rsidR="00FE6555">
        <w:rPr>
          <w:rFonts w:ascii="Arial" w:hAnsi="Arial" w:cs="Arial"/>
          <w:szCs w:val="22"/>
        </w:rPr>
        <w:t>adně</w:t>
      </w:r>
      <w:r w:rsidRPr="003B6BDF">
        <w:rPr>
          <w:rFonts w:ascii="Arial" w:hAnsi="Arial" w:cs="Arial"/>
          <w:szCs w:val="22"/>
        </w:rPr>
        <w:t xml:space="preserve"> informace v ní obsažené nebo z ní vyplývající zveřejnit. Podpisem této smlouvy dále berou smluvní strany na vědomí, že obě smluvní strany jsou povinny za podmínek stanovených v zákoně č. 340/2015 Sb., o registru smluv, ve znění pozdějších předpisů, zveřejňovat smlouvy na Portálu veřejné správy v Registru smluv. Zveřejnění smlouvy v Registru </w:t>
      </w:r>
      <w:r w:rsidR="00FE6555">
        <w:rPr>
          <w:rFonts w:ascii="Arial" w:hAnsi="Arial" w:cs="Arial"/>
          <w:szCs w:val="22"/>
        </w:rPr>
        <w:t xml:space="preserve">smluv </w:t>
      </w:r>
      <w:r w:rsidRPr="003B6BDF">
        <w:rPr>
          <w:rFonts w:ascii="Arial" w:hAnsi="Arial" w:cs="Arial"/>
          <w:szCs w:val="22"/>
        </w:rPr>
        <w:t>zajišťuje Objednatel.</w:t>
      </w:r>
    </w:p>
    <w:p w14:paraId="02D2E077" w14:textId="77777777" w:rsidR="003B6BDF" w:rsidRDefault="00F204C7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Veškeré změny této Smlouvy s výjimkou informací uvedených v článku IV., bod 6. musí být upraveny formou dodatku Smlouvy, odsouhlaseném oběma Smluvními stranami.</w:t>
      </w:r>
    </w:p>
    <w:p w14:paraId="6EF9DC0A" w14:textId="77777777" w:rsidR="00A11C1E" w:rsidRPr="003B6BDF" w:rsidRDefault="00A11C1E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právní vztahy, které nejsou upraveny touto Smlouvou, se řídí ustanoveními Občanského zákoníku v platném znění.</w:t>
      </w:r>
    </w:p>
    <w:p w14:paraId="027B6F4A" w14:textId="36FF5B57" w:rsidR="003B6BDF" w:rsidRDefault="003B6BDF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>S</w:t>
      </w:r>
      <w:r w:rsidR="00FE6555">
        <w:rPr>
          <w:rFonts w:ascii="Arial" w:hAnsi="Arial" w:cs="Arial"/>
          <w:szCs w:val="22"/>
        </w:rPr>
        <w:t>mluvní s</w:t>
      </w:r>
      <w:r w:rsidRPr="003B6BDF">
        <w:rPr>
          <w:rFonts w:ascii="Arial" w:hAnsi="Arial" w:cs="Arial"/>
          <w:szCs w:val="22"/>
        </w:rPr>
        <w:t>trany prohlašují, že tuto smlouvu uzavírají na základě své svobodné, pravé a vážné vůle, prosté omylu, nikoli v tísni či za nápadně nevýhodných podmínek.</w:t>
      </w:r>
    </w:p>
    <w:p w14:paraId="57B8C567" w14:textId="6DCD22DE" w:rsidR="006571A2" w:rsidRPr="006571A2" w:rsidRDefault="006571A2" w:rsidP="006571A2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Tato smlouva se vyhotovuje:</w:t>
      </w:r>
    </w:p>
    <w:p w14:paraId="5C752D47" w14:textId="77777777" w:rsidR="006571A2" w:rsidRDefault="006571A2" w:rsidP="006571A2">
      <w:pPr>
        <w:pStyle w:val="Odstavecseseznamem"/>
        <w:numPr>
          <w:ilvl w:val="2"/>
          <w:numId w:val="11"/>
        </w:numPr>
        <w:tabs>
          <w:tab w:val="left" w:pos="425"/>
        </w:tabs>
        <w:spacing w:after="60"/>
        <w:ind w:left="993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v případě jejího vlastnoručního podepsání ve dvou výtiscích s platností originálu, z nichž Objednatel a Poradce obdrží jeden výtisk,</w:t>
      </w:r>
    </w:p>
    <w:p w14:paraId="74DC2E50" w14:textId="77777777" w:rsidR="006571A2" w:rsidRDefault="006571A2" w:rsidP="006571A2">
      <w:pPr>
        <w:pStyle w:val="Odstavecseseznamem"/>
        <w:numPr>
          <w:ilvl w:val="2"/>
          <w:numId w:val="11"/>
        </w:numPr>
        <w:tabs>
          <w:tab w:val="left" w:pos="425"/>
        </w:tabs>
        <w:spacing w:after="60"/>
        <w:ind w:left="993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v případě jejího podepsání uznávaným elektronickým podpisem v jednom vyhotovení v elektronické podobě, které bude poskytnuto oběma smluvním stranám.</w:t>
      </w:r>
    </w:p>
    <w:p w14:paraId="7AAA029B" w14:textId="63E57591" w:rsidR="005944F4" w:rsidRPr="006571A2" w:rsidRDefault="005944F4" w:rsidP="006571A2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Součástí této smlouvy jsou přílohy č. 1 – Základní specifikace obchodního modelu Objednatele, příloha č. 2 – Vymezení obchodního tajemství Po</w:t>
      </w:r>
      <w:r w:rsidR="005C2E0E" w:rsidRPr="006571A2">
        <w:rPr>
          <w:rFonts w:ascii="Arial" w:hAnsi="Arial" w:cs="Arial"/>
          <w:szCs w:val="22"/>
        </w:rPr>
        <w:t>radc</w:t>
      </w:r>
      <w:r w:rsidRPr="006571A2">
        <w:rPr>
          <w:rFonts w:ascii="Arial" w:hAnsi="Arial" w:cs="Arial"/>
          <w:szCs w:val="22"/>
        </w:rPr>
        <w:t>e, příloha č. 3 – Pravidla sociální odpovědnosti</w:t>
      </w:r>
      <w:r w:rsidR="00F92447" w:rsidRPr="006571A2">
        <w:rPr>
          <w:rFonts w:ascii="Arial" w:hAnsi="Arial" w:cs="Arial"/>
          <w:szCs w:val="22"/>
        </w:rPr>
        <w:t>, příloha č. 4 – Základní požadavky k zajištění BOZP</w:t>
      </w:r>
      <w:r w:rsidRPr="006571A2">
        <w:rPr>
          <w:rFonts w:ascii="Arial" w:hAnsi="Arial" w:cs="Arial"/>
          <w:szCs w:val="22"/>
        </w:rPr>
        <w:t>.</w:t>
      </w:r>
    </w:p>
    <w:p w14:paraId="5E1CB52A" w14:textId="77777777" w:rsidR="003B6BDF" w:rsidRPr="003B6BDF" w:rsidRDefault="003B6BDF" w:rsidP="003B6BDF">
      <w:pPr>
        <w:pStyle w:val="Zkladntextodsazen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E5F038C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>V Ostravě dne: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 xml:space="preserve">V Ostravě dne: </w:t>
      </w:r>
    </w:p>
    <w:p w14:paraId="6E17CBED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21F73A89" w14:textId="139241A8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 xml:space="preserve">Za </w:t>
      </w:r>
      <w:r w:rsidR="001871C0">
        <w:rPr>
          <w:rFonts w:ascii="Arial" w:hAnsi="Arial" w:cs="Arial"/>
          <w:bCs/>
          <w:szCs w:val="22"/>
        </w:rPr>
        <w:t>O</w:t>
      </w:r>
      <w:r>
        <w:rPr>
          <w:rFonts w:ascii="Arial" w:hAnsi="Arial" w:cs="Arial"/>
          <w:bCs/>
          <w:szCs w:val="22"/>
        </w:rPr>
        <w:t>bjednatele</w:t>
      </w:r>
      <w:r w:rsidRPr="003B6BDF">
        <w:rPr>
          <w:rFonts w:ascii="Arial" w:hAnsi="Arial" w:cs="Arial"/>
          <w:bCs/>
          <w:szCs w:val="22"/>
        </w:rPr>
        <w:t>: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  <w:t xml:space="preserve">Za </w:t>
      </w:r>
      <w:r w:rsidR="001871C0">
        <w:rPr>
          <w:rFonts w:ascii="Arial" w:hAnsi="Arial" w:cs="Arial"/>
          <w:bCs/>
          <w:szCs w:val="22"/>
        </w:rPr>
        <w:t>Poradc</w:t>
      </w:r>
      <w:r>
        <w:rPr>
          <w:rFonts w:ascii="Arial" w:hAnsi="Arial" w:cs="Arial"/>
          <w:bCs/>
          <w:szCs w:val="22"/>
        </w:rPr>
        <w:t>e</w:t>
      </w:r>
      <w:r w:rsidRPr="003B6BDF">
        <w:rPr>
          <w:rFonts w:ascii="Arial" w:hAnsi="Arial" w:cs="Arial"/>
          <w:bCs/>
          <w:szCs w:val="22"/>
        </w:rPr>
        <w:t>:</w:t>
      </w:r>
    </w:p>
    <w:p w14:paraId="248D61ED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5EF297DD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1BB8E02A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1E7C6DCC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268CE9FA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>…………………………………….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  <w:t xml:space="preserve">………………………………… </w:t>
      </w:r>
    </w:p>
    <w:p w14:paraId="06F8DE83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proofErr w:type="spellStart"/>
      <w:r w:rsidRPr="003B6BDF">
        <w:rPr>
          <w:rFonts w:ascii="Arial" w:hAnsi="Arial" w:cs="Arial"/>
          <w:bCs/>
          <w:szCs w:val="22"/>
        </w:rPr>
        <w:t>xxxx</w:t>
      </w:r>
      <w:proofErr w:type="spellEnd"/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proofErr w:type="spellStart"/>
      <w:r w:rsidRPr="003B6BDF">
        <w:rPr>
          <w:rFonts w:ascii="Arial" w:hAnsi="Arial" w:cs="Arial"/>
          <w:szCs w:val="22"/>
        </w:rPr>
        <w:t>xxx</w:t>
      </w:r>
      <w:proofErr w:type="spellEnd"/>
    </w:p>
    <w:p w14:paraId="147CEE08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>pozice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proofErr w:type="spellStart"/>
      <w:r w:rsidRPr="003B6BDF">
        <w:rPr>
          <w:rFonts w:ascii="Arial" w:hAnsi="Arial" w:cs="Arial"/>
          <w:bCs/>
          <w:szCs w:val="22"/>
        </w:rPr>
        <w:t>pozice</w:t>
      </w:r>
      <w:proofErr w:type="spellEnd"/>
    </w:p>
    <w:p w14:paraId="24549425" w14:textId="0526F345" w:rsidR="008E6E7A" w:rsidRPr="003B6BDF" w:rsidRDefault="003B6BDF" w:rsidP="009C06E3">
      <w:pPr>
        <w:spacing w:after="200" w:line="276" w:lineRule="auto"/>
        <w:jc w:val="left"/>
      </w:pPr>
      <w:r w:rsidRPr="003B6BDF">
        <w:rPr>
          <w:rFonts w:ascii="Arial" w:hAnsi="Arial" w:cs="Arial"/>
          <w:bCs/>
          <w:szCs w:val="22"/>
        </w:rPr>
        <w:t>D</w:t>
      </w:r>
      <w:r>
        <w:rPr>
          <w:rFonts w:ascii="Arial" w:hAnsi="Arial" w:cs="Arial"/>
          <w:bCs/>
          <w:szCs w:val="22"/>
        </w:rPr>
        <w:t>opravní podnik Ostrava a. s.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>firma</w:t>
      </w:r>
    </w:p>
    <w:sectPr w:rsidR="008E6E7A" w:rsidRPr="003B6BDF" w:rsidSect="0051279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06" w:right="851" w:bottom="1418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FD14C" w14:textId="77777777" w:rsidR="0081376B" w:rsidRDefault="0081376B" w:rsidP="00360830">
      <w:r>
        <w:separator/>
      </w:r>
    </w:p>
  </w:endnote>
  <w:endnote w:type="continuationSeparator" w:id="0">
    <w:p w14:paraId="7A68E8BD" w14:textId="77777777" w:rsidR="0081376B" w:rsidRDefault="0081376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C1B4" w14:textId="46C6B03C" w:rsidR="0081376B" w:rsidRDefault="009869CE" w:rsidP="005A431D">
    <w:pPr>
      <w:pStyle w:val="Pata"/>
      <w:jc w:val="right"/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2"/>
          <w:szCs w:val="22"/>
        </w:rPr>
      </w:sdtEnd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i/>
              <w:sz w:val="22"/>
              <w:szCs w:val="22"/>
            </w:rPr>
          </w:sdtEndPr>
          <w:sdtContent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strana 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instrText>PAGE</w:instrTex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4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instrText>NUMPAGES</w:instrTex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4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sdtContent>
        </w:sdt>
      </w:sdtContent>
    </w:sdt>
    <w:r w:rsidR="0081376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00088" w14:textId="77777777" w:rsidR="0081376B" w:rsidRPr="001526C2" w:rsidRDefault="0081376B" w:rsidP="00BB566C">
    <w:pPr>
      <w:pStyle w:val="Pata"/>
    </w:pPr>
    <w:r w:rsidRPr="001526C2">
      <w:tab/>
    </w:r>
  </w:p>
  <w:p w14:paraId="69213121" w14:textId="77777777" w:rsidR="0081376B" w:rsidRDefault="009869CE" w:rsidP="003C3ADF">
    <w:pPr>
      <w:pStyle w:val="Pata"/>
      <w:tabs>
        <w:tab w:val="clear" w:pos="10206"/>
      </w:tabs>
      <w:jc w:val="righ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strana 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instrText>PAGE</w:instrTex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81376B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1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instrText>NUMPAGES</w:instrTex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81376B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9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81376B" w:rsidRPr="001526C2">
              <w:tab/>
            </w:r>
          </w:sdtContent>
        </w:sdt>
      </w:sdtContent>
    </w:sdt>
  </w:p>
  <w:p w14:paraId="3966A305" w14:textId="77777777" w:rsidR="0081376B" w:rsidRDefault="0081376B" w:rsidP="00C17A6C">
    <w:pPr>
      <w:pStyle w:val="Pata"/>
      <w:tabs>
        <w:tab w:val="left" w:pos="8647"/>
      </w:tabs>
    </w:pPr>
    <w:r w:rsidRPr="001526C2" w:rsidDel="00BB566C">
      <w:t xml:space="preserve"> </w:t>
    </w:r>
    <w:sdt>
      <w:sdtPr>
        <w:id w:val="1910847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highlight w:val="cyan"/>
        </w:rPr>
      </w:sdtEndPr>
      <w:sdtContent>
        <w:r>
          <w:t xml:space="preserve">                        </w:t>
        </w:r>
      </w:sdtContent>
    </w:sdt>
    <w:r w:rsidRPr="00C17A6C">
      <w:rPr>
        <w:rFonts w:ascii="Times New Roman" w:hAnsi="Times New Roman" w:cs="Times New Roman"/>
        <w:i/>
        <w:sz w:val="22"/>
        <w:szCs w:val="22"/>
      </w:rPr>
      <w:t xml:space="preserve"> </w:t>
    </w:r>
    <w:r>
      <w:rPr>
        <w:rFonts w:ascii="Times New Roman" w:hAnsi="Times New Roman" w:cs="Times New Roman"/>
        <w:i/>
        <w:sz w:val="22"/>
        <w:szCs w:val="22"/>
      </w:rPr>
      <w:tab/>
    </w:r>
  </w:p>
  <w:p w14:paraId="3188BD1A" w14:textId="77777777" w:rsidR="0081376B" w:rsidRDefault="00813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BC60" w14:textId="77777777" w:rsidR="0081376B" w:rsidRDefault="0081376B" w:rsidP="00360830">
      <w:r>
        <w:separator/>
      </w:r>
    </w:p>
  </w:footnote>
  <w:footnote w:type="continuationSeparator" w:id="0">
    <w:p w14:paraId="0BBFC209" w14:textId="77777777" w:rsidR="0081376B" w:rsidRDefault="0081376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1E2C" w14:textId="77777777" w:rsidR="0081376B" w:rsidRDefault="0081376B" w:rsidP="003C3ADF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2E86C9F6" wp14:editId="03FEAC8D">
          <wp:simplePos x="0" y="0"/>
          <wp:positionH relativeFrom="margin">
            <wp:posOffset>4217035</wp:posOffset>
          </wp:positionH>
          <wp:positionV relativeFrom="page">
            <wp:posOffset>365760</wp:posOffset>
          </wp:positionV>
          <wp:extent cx="2181860" cy="619760"/>
          <wp:effectExtent l="19050" t="0" r="889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8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C2E49F4" wp14:editId="76D80056">
          <wp:simplePos x="0" y="0"/>
          <wp:positionH relativeFrom="page">
            <wp:posOffset>583565</wp:posOffset>
          </wp:positionH>
          <wp:positionV relativeFrom="page">
            <wp:posOffset>365760</wp:posOffset>
          </wp:positionV>
          <wp:extent cx="1873250" cy="50038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325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97A5" w14:textId="77777777" w:rsidR="0081376B" w:rsidRDefault="0081376B" w:rsidP="005A431D">
    <w:pPr>
      <w:pStyle w:val="Zhlav"/>
      <w:tabs>
        <w:tab w:val="clear" w:pos="4536"/>
        <w:tab w:val="clear" w:pos="9072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791D642" wp14:editId="10D574E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7F35E7E" wp14:editId="7E7D030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A7E6C"/>
    <w:multiLevelType w:val="hybridMultilevel"/>
    <w:tmpl w:val="853CD8E8"/>
    <w:lvl w:ilvl="0" w:tplc="2CE83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587B"/>
    <w:multiLevelType w:val="multilevel"/>
    <w:tmpl w:val="3C68E88E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560"/>
        </w:tabs>
        <w:ind w:left="1560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cs="Times New Roman" w:hint="default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272"/>
        </w:tabs>
        <w:ind w:left="1272" w:hanging="846"/>
      </w:pPr>
      <w:rPr>
        <w:rFonts w:cs="Times New Roman" w:hint="default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3" w15:restartNumberingAfterBreak="0">
    <w:nsid w:val="084A3C6F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7BB9"/>
    <w:multiLevelType w:val="multilevel"/>
    <w:tmpl w:val="97CAA11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103162CC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E40E6"/>
    <w:multiLevelType w:val="hybridMultilevel"/>
    <w:tmpl w:val="0E6E018C"/>
    <w:lvl w:ilvl="0" w:tplc="9DDCA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F4E3FC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E217B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1A3981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60ABC"/>
    <w:multiLevelType w:val="hybridMultilevel"/>
    <w:tmpl w:val="FDB49404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E0024"/>
    <w:multiLevelType w:val="hybridMultilevel"/>
    <w:tmpl w:val="46DCE842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D44E0E"/>
    <w:multiLevelType w:val="hybridMultilevel"/>
    <w:tmpl w:val="4E5EDB9A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57D09"/>
    <w:multiLevelType w:val="hybridMultilevel"/>
    <w:tmpl w:val="4650CF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E115A"/>
    <w:multiLevelType w:val="hybridMultilevel"/>
    <w:tmpl w:val="C7AA6D1E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C3BF8"/>
    <w:multiLevelType w:val="hybridMultilevel"/>
    <w:tmpl w:val="9020A4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41938"/>
    <w:multiLevelType w:val="hybridMultilevel"/>
    <w:tmpl w:val="836AE082"/>
    <w:lvl w:ilvl="0" w:tplc="98C8C1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15E8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5AB52C09"/>
    <w:multiLevelType w:val="hybridMultilevel"/>
    <w:tmpl w:val="984881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82A1038">
      <w:start w:val="1"/>
      <w:numFmt w:val="decimal"/>
      <w:lvlText w:val="1.%2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CB8532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003EF"/>
    <w:multiLevelType w:val="hybridMultilevel"/>
    <w:tmpl w:val="59720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636D1"/>
    <w:multiLevelType w:val="hybridMultilevel"/>
    <w:tmpl w:val="08502D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82A1038">
      <w:start w:val="1"/>
      <w:numFmt w:val="decimal"/>
      <w:lvlText w:val="1.%2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168DE"/>
    <w:multiLevelType w:val="hybridMultilevel"/>
    <w:tmpl w:val="BEC64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07438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46304F"/>
    <w:multiLevelType w:val="hybridMultilevel"/>
    <w:tmpl w:val="26A04E0E"/>
    <w:lvl w:ilvl="0" w:tplc="E6F027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4"/>
  </w:num>
  <w:num w:numId="8">
    <w:abstractNumId w:val="20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10"/>
  </w:num>
  <w:num w:numId="14">
    <w:abstractNumId w:val="23"/>
  </w:num>
  <w:num w:numId="15">
    <w:abstractNumId w:val="10"/>
  </w:num>
  <w:num w:numId="16">
    <w:abstractNumId w:val="22"/>
  </w:num>
  <w:num w:numId="17">
    <w:abstractNumId w:val="10"/>
  </w:num>
  <w:num w:numId="18">
    <w:abstractNumId w:val="10"/>
  </w:num>
  <w:num w:numId="19">
    <w:abstractNumId w:val="8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25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7"/>
  </w:num>
  <w:num w:numId="32">
    <w:abstractNumId w:val="10"/>
  </w:num>
  <w:num w:numId="33">
    <w:abstractNumId w:val="10"/>
  </w:num>
  <w:num w:numId="34">
    <w:abstractNumId w:val="10"/>
  </w:num>
  <w:num w:numId="35">
    <w:abstractNumId w:val="3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5"/>
  </w:num>
  <w:num w:numId="48">
    <w:abstractNumId w:val="10"/>
  </w:num>
  <w:num w:numId="49">
    <w:abstractNumId w:val="10"/>
  </w:num>
  <w:num w:numId="50">
    <w:abstractNumId w:val="10"/>
  </w:num>
  <w:num w:numId="51">
    <w:abstractNumId w:val="16"/>
  </w:num>
  <w:num w:numId="52">
    <w:abstractNumId w:val="2"/>
  </w:num>
  <w:num w:numId="53">
    <w:abstractNumId w:val="10"/>
  </w:num>
  <w:num w:numId="54">
    <w:abstractNumId w:val="15"/>
  </w:num>
  <w:num w:numId="55">
    <w:abstractNumId w:val="9"/>
  </w:num>
  <w:num w:numId="56">
    <w:abstractNumId w:val="13"/>
  </w:num>
  <w:num w:numId="57">
    <w:abstractNumId w:val="14"/>
  </w:num>
  <w:num w:numId="58">
    <w:abstractNumId w:val="4"/>
  </w:num>
  <w:num w:numId="59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8"/>
    <w:rsid w:val="00006FCA"/>
    <w:rsid w:val="0000791F"/>
    <w:rsid w:val="00011DC2"/>
    <w:rsid w:val="00012348"/>
    <w:rsid w:val="00020BF2"/>
    <w:rsid w:val="00020CCD"/>
    <w:rsid w:val="0002303A"/>
    <w:rsid w:val="0003297D"/>
    <w:rsid w:val="0003578A"/>
    <w:rsid w:val="000376EF"/>
    <w:rsid w:val="00047957"/>
    <w:rsid w:val="000500A7"/>
    <w:rsid w:val="0005180F"/>
    <w:rsid w:val="0005291F"/>
    <w:rsid w:val="000567BC"/>
    <w:rsid w:val="00057EF1"/>
    <w:rsid w:val="0006780D"/>
    <w:rsid w:val="00067A98"/>
    <w:rsid w:val="00072253"/>
    <w:rsid w:val="0007345D"/>
    <w:rsid w:val="00085086"/>
    <w:rsid w:val="00086905"/>
    <w:rsid w:val="00092EA7"/>
    <w:rsid w:val="00094C52"/>
    <w:rsid w:val="00097969"/>
    <w:rsid w:val="000A4424"/>
    <w:rsid w:val="000A59BF"/>
    <w:rsid w:val="000B08AD"/>
    <w:rsid w:val="000B3338"/>
    <w:rsid w:val="000B377C"/>
    <w:rsid w:val="000B4B34"/>
    <w:rsid w:val="000B7F1A"/>
    <w:rsid w:val="000C4E61"/>
    <w:rsid w:val="000C5B9D"/>
    <w:rsid w:val="000D202F"/>
    <w:rsid w:val="000F6CFA"/>
    <w:rsid w:val="001040A4"/>
    <w:rsid w:val="00104953"/>
    <w:rsid w:val="00110139"/>
    <w:rsid w:val="00110679"/>
    <w:rsid w:val="001108B2"/>
    <w:rsid w:val="00111891"/>
    <w:rsid w:val="00112FB7"/>
    <w:rsid w:val="00120723"/>
    <w:rsid w:val="00131ABB"/>
    <w:rsid w:val="00133623"/>
    <w:rsid w:val="00140FB9"/>
    <w:rsid w:val="0014562E"/>
    <w:rsid w:val="00145A19"/>
    <w:rsid w:val="001526C2"/>
    <w:rsid w:val="00153F01"/>
    <w:rsid w:val="00154272"/>
    <w:rsid w:val="0016043D"/>
    <w:rsid w:val="00162752"/>
    <w:rsid w:val="00172236"/>
    <w:rsid w:val="00174451"/>
    <w:rsid w:val="00174CF0"/>
    <w:rsid w:val="00175194"/>
    <w:rsid w:val="00182C05"/>
    <w:rsid w:val="00184BB2"/>
    <w:rsid w:val="001871C0"/>
    <w:rsid w:val="00192302"/>
    <w:rsid w:val="001A7099"/>
    <w:rsid w:val="001B3CDB"/>
    <w:rsid w:val="001C39C9"/>
    <w:rsid w:val="001C6B36"/>
    <w:rsid w:val="001C7DEE"/>
    <w:rsid w:val="001D163F"/>
    <w:rsid w:val="001D35DA"/>
    <w:rsid w:val="001E3504"/>
    <w:rsid w:val="001E4DD0"/>
    <w:rsid w:val="001F635C"/>
    <w:rsid w:val="002057CE"/>
    <w:rsid w:val="0022495B"/>
    <w:rsid w:val="00227132"/>
    <w:rsid w:val="00230E86"/>
    <w:rsid w:val="002324DF"/>
    <w:rsid w:val="0023266D"/>
    <w:rsid w:val="00235E31"/>
    <w:rsid w:val="00240A41"/>
    <w:rsid w:val="00244F96"/>
    <w:rsid w:val="00247FC2"/>
    <w:rsid w:val="002527A1"/>
    <w:rsid w:val="0026376C"/>
    <w:rsid w:val="00263E38"/>
    <w:rsid w:val="002666C0"/>
    <w:rsid w:val="00276D8B"/>
    <w:rsid w:val="00280EF8"/>
    <w:rsid w:val="0028199D"/>
    <w:rsid w:val="002821C4"/>
    <w:rsid w:val="002900BF"/>
    <w:rsid w:val="00291EB8"/>
    <w:rsid w:val="00292292"/>
    <w:rsid w:val="00295CE8"/>
    <w:rsid w:val="0029663E"/>
    <w:rsid w:val="002A09E2"/>
    <w:rsid w:val="002A431B"/>
    <w:rsid w:val="002A4F64"/>
    <w:rsid w:val="002B1A75"/>
    <w:rsid w:val="002B2BA1"/>
    <w:rsid w:val="002B517C"/>
    <w:rsid w:val="002B73A0"/>
    <w:rsid w:val="002C052A"/>
    <w:rsid w:val="002C08F2"/>
    <w:rsid w:val="002C1C80"/>
    <w:rsid w:val="002C2E42"/>
    <w:rsid w:val="002C46BC"/>
    <w:rsid w:val="002D340E"/>
    <w:rsid w:val="002E339A"/>
    <w:rsid w:val="002F1701"/>
    <w:rsid w:val="003008B5"/>
    <w:rsid w:val="003078A2"/>
    <w:rsid w:val="00310BA4"/>
    <w:rsid w:val="00320C4C"/>
    <w:rsid w:val="00332573"/>
    <w:rsid w:val="00345321"/>
    <w:rsid w:val="003476FE"/>
    <w:rsid w:val="00352265"/>
    <w:rsid w:val="003565D0"/>
    <w:rsid w:val="00360830"/>
    <w:rsid w:val="0036182B"/>
    <w:rsid w:val="00362056"/>
    <w:rsid w:val="00362826"/>
    <w:rsid w:val="00364A6C"/>
    <w:rsid w:val="00394425"/>
    <w:rsid w:val="00397B99"/>
    <w:rsid w:val="003A20C5"/>
    <w:rsid w:val="003A3972"/>
    <w:rsid w:val="003B2512"/>
    <w:rsid w:val="003B6BDF"/>
    <w:rsid w:val="003B74C1"/>
    <w:rsid w:val="003B7604"/>
    <w:rsid w:val="003C0EB6"/>
    <w:rsid w:val="003C3ADF"/>
    <w:rsid w:val="003D02B6"/>
    <w:rsid w:val="003E0F84"/>
    <w:rsid w:val="003F2FA4"/>
    <w:rsid w:val="003F530B"/>
    <w:rsid w:val="003F668A"/>
    <w:rsid w:val="00404411"/>
    <w:rsid w:val="00407DF2"/>
    <w:rsid w:val="00413871"/>
    <w:rsid w:val="00421AC9"/>
    <w:rsid w:val="00432634"/>
    <w:rsid w:val="00441354"/>
    <w:rsid w:val="00445491"/>
    <w:rsid w:val="004454AF"/>
    <w:rsid w:val="00450110"/>
    <w:rsid w:val="00452870"/>
    <w:rsid w:val="0046065F"/>
    <w:rsid w:val="00464A62"/>
    <w:rsid w:val="00466324"/>
    <w:rsid w:val="004915F1"/>
    <w:rsid w:val="004956EE"/>
    <w:rsid w:val="00497284"/>
    <w:rsid w:val="004A52AD"/>
    <w:rsid w:val="004A6328"/>
    <w:rsid w:val="004A70D4"/>
    <w:rsid w:val="004B2677"/>
    <w:rsid w:val="004B2C8D"/>
    <w:rsid w:val="004D0094"/>
    <w:rsid w:val="004E24FA"/>
    <w:rsid w:val="004E45A3"/>
    <w:rsid w:val="004E4BF1"/>
    <w:rsid w:val="004E694D"/>
    <w:rsid w:val="004F16C6"/>
    <w:rsid w:val="004F5F64"/>
    <w:rsid w:val="004F6BD4"/>
    <w:rsid w:val="00500FB0"/>
    <w:rsid w:val="00510D74"/>
    <w:rsid w:val="0051279C"/>
    <w:rsid w:val="0051285C"/>
    <w:rsid w:val="00517CAF"/>
    <w:rsid w:val="005306E0"/>
    <w:rsid w:val="0053085A"/>
    <w:rsid w:val="00531695"/>
    <w:rsid w:val="00544339"/>
    <w:rsid w:val="00544708"/>
    <w:rsid w:val="00544B57"/>
    <w:rsid w:val="00555AAB"/>
    <w:rsid w:val="005678FC"/>
    <w:rsid w:val="00570B90"/>
    <w:rsid w:val="005738FC"/>
    <w:rsid w:val="005749F3"/>
    <w:rsid w:val="00580AB9"/>
    <w:rsid w:val="00583717"/>
    <w:rsid w:val="005849F6"/>
    <w:rsid w:val="005906B2"/>
    <w:rsid w:val="005944F4"/>
    <w:rsid w:val="005A25A9"/>
    <w:rsid w:val="005A431D"/>
    <w:rsid w:val="005A4A2E"/>
    <w:rsid w:val="005A5FEA"/>
    <w:rsid w:val="005B038D"/>
    <w:rsid w:val="005B1387"/>
    <w:rsid w:val="005C2E0E"/>
    <w:rsid w:val="005C58F4"/>
    <w:rsid w:val="005D3709"/>
    <w:rsid w:val="005D3750"/>
    <w:rsid w:val="005E4ED7"/>
    <w:rsid w:val="005F709A"/>
    <w:rsid w:val="00601BF8"/>
    <w:rsid w:val="00603BBC"/>
    <w:rsid w:val="00603D8E"/>
    <w:rsid w:val="0061318C"/>
    <w:rsid w:val="00614136"/>
    <w:rsid w:val="00615BDE"/>
    <w:rsid w:val="00616E6C"/>
    <w:rsid w:val="006207E2"/>
    <w:rsid w:val="00633D82"/>
    <w:rsid w:val="00644EA3"/>
    <w:rsid w:val="00645D0F"/>
    <w:rsid w:val="006551DD"/>
    <w:rsid w:val="00656774"/>
    <w:rsid w:val="0065709A"/>
    <w:rsid w:val="006571A2"/>
    <w:rsid w:val="00660CD0"/>
    <w:rsid w:val="0066750B"/>
    <w:rsid w:val="006716D0"/>
    <w:rsid w:val="006732BA"/>
    <w:rsid w:val="006735D8"/>
    <w:rsid w:val="0067434B"/>
    <w:rsid w:val="0068199D"/>
    <w:rsid w:val="00690BF5"/>
    <w:rsid w:val="00695E4E"/>
    <w:rsid w:val="006A0FD7"/>
    <w:rsid w:val="006B05CC"/>
    <w:rsid w:val="006B6E4B"/>
    <w:rsid w:val="006B7D68"/>
    <w:rsid w:val="006C123B"/>
    <w:rsid w:val="006C191B"/>
    <w:rsid w:val="006C297B"/>
    <w:rsid w:val="006C43E9"/>
    <w:rsid w:val="006C7723"/>
    <w:rsid w:val="006D02F2"/>
    <w:rsid w:val="006D3B92"/>
    <w:rsid w:val="006D4543"/>
    <w:rsid w:val="006D7ACB"/>
    <w:rsid w:val="006E0BB7"/>
    <w:rsid w:val="006E11DD"/>
    <w:rsid w:val="006E5E43"/>
    <w:rsid w:val="006F1C06"/>
    <w:rsid w:val="00703AF7"/>
    <w:rsid w:val="0071219C"/>
    <w:rsid w:val="007140E9"/>
    <w:rsid w:val="00720C73"/>
    <w:rsid w:val="007264EF"/>
    <w:rsid w:val="00740FFE"/>
    <w:rsid w:val="007417BF"/>
    <w:rsid w:val="00743D06"/>
    <w:rsid w:val="007466FD"/>
    <w:rsid w:val="007722AB"/>
    <w:rsid w:val="00773455"/>
    <w:rsid w:val="00774D1D"/>
    <w:rsid w:val="00780671"/>
    <w:rsid w:val="00781816"/>
    <w:rsid w:val="00782502"/>
    <w:rsid w:val="007917E8"/>
    <w:rsid w:val="00796321"/>
    <w:rsid w:val="007A2A93"/>
    <w:rsid w:val="007A75B2"/>
    <w:rsid w:val="007B131A"/>
    <w:rsid w:val="007C0866"/>
    <w:rsid w:val="007C31FD"/>
    <w:rsid w:val="007C3CA9"/>
    <w:rsid w:val="007D0C4C"/>
    <w:rsid w:val="007D2F14"/>
    <w:rsid w:val="007E4EA5"/>
    <w:rsid w:val="007E7DC1"/>
    <w:rsid w:val="007F0AD8"/>
    <w:rsid w:val="007F34FE"/>
    <w:rsid w:val="007F46E2"/>
    <w:rsid w:val="007F5E6A"/>
    <w:rsid w:val="00802B34"/>
    <w:rsid w:val="00805A6F"/>
    <w:rsid w:val="008100F6"/>
    <w:rsid w:val="00811B71"/>
    <w:rsid w:val="0081376B"/>
    <w:rsid w:val="008205C6"/>
    <w:rsid w:val="00832218"/>
    <w:rsid w:val="00834987"/>
    <w:rsid w:val="00835590"/>
    <w:rsid w:val="00845D37"/>
    <w:rsid w:val="0086134C"/>
    <w:rsid w:val="00863896"/>
    <w:rsid w:val="00863E0E"/>
    <w:rsid w:val="00866BF7"/>
    <w:rsid w:val="00870D7E"/>
    <w:rsid w:val="00871E0A"/>
    <w:rsid w:val="0087440F"/>
    <w:rsid w:val="008759CB"/>
    <w:rsid w:val="00875F05"/>
    <w:rsid w:val="008774FB"/>
    <w:rsid w:val="008806F4"/>
    <w:rsid w:val="00882DC3"/>
    <w:rsid w:val="008834BF"/>
    <w:rsid w:val="0088724A"/>
    <w:rsid w:val="00891452"/>
    <w:rsid w:val="008937B1"/>
    <w:rsid w:val="008968B8"/>
    <w:rsid w:val="008A5AF5"/>
    <w:rsid w:val="008A6394"/>
    <w:rsid w:val="008A7C47"/>
    <w:rsid w:val="008B2BEF"/>
    <w:rsid w:val="008B4D66"/>
    <w:rsid w:val="008B7F99"/>
    <w:rsid w:val="008C20E6"/>
    <w:rsid w:val="008D7E12"/>
    <w:rsid w:val="008E6E7A"/>
    <w:rsid w:val="008F0855"/>
    <w:rsid w:val="008F69B4"/>
    <w:rsid w:val="00903E16"/>
    <w:rsid w:val="00904DA8"/>
    <w:rsid w:val="00910CA1"/>
    <w:rsid w:val="00912493"/>
    <w:rsid w:val="009163F5"/>
    <w:rsid w:val="0091738F"/>
    <w:rsid w:val="00927607"/>
    <w:rsid w:val="00932BB7"/>
    <w:rsid w:val="00946329"/>
    <w:rsid w:val="00962141"/>
    <w:rsid w:val="00966664"/>
    <w:rsid w:val="00971987"/>
    <w:rsid w:val="00980A3E"/>
    <w:rsid w:val="00980C79"/>
    <w:rsid w:val="0098101F"/>
    <w:rsid w:val="00982122"/>
    <w:rsid w:val="0098586F"/>
    <w:rsid w:val="009869CE"/>
    <w:rsid w:val="009900BE"/>
    <w:rsid w:val="009B172A"/>
    <w:rsid w:val="009B4CBF"/>
    <w:rsid w:val="009B7CF2"/>
    <w:rsid w:val="009C06E3"/>
    <w:rsid w:val="009D63CE"/>
    <w:rsid w:val="009E6634"/>
    <w:rsid w:val="009E721A"/>
    <w:rsid w:val="009F49AE"/>
    <w:rsid w:val="009F7822"/>
    <w:rsid w:val="00A042D1"/>
    <w:rsid w:val="00A04A67"/>
    <w:rsid w:val="00A04FE9"/>
    <w:rsid w:val="00A06C08"/>
    <w:rsid w:val="00A07672"/>
    <w:rsid w:val="00A10F10"/>
    <w:rsid w:val="00A11C1E"/>
    <w:rsid w:val="00A2169A"/>
    <w:rsid w:val="00A22122"/>
    <w:rsid w:val="00A260E5"/>
    <w:rsid w:val="00A3430B"/>
    <w:rsid w:val="00A357FE"/>
    <w:rsid w:val="00A40227"/>
    <w:rsid w:val="00A43A19"/>
    <w:rsid w:val="00A521BD"/>
    <w:rsid w:val="00A54C3D"/>
    <w:rsid w:val="00A57584"/>
    <w:rsid w:val="00A601CA"/>
    <w:rsid w:val="00A610CB"/>
    <w:rsid w:val="00A62055"/>
    <w:rsid w:val="00A63125"/>
    <w:rsid w:val="00A656D3"/>
    <w:rsid w:val="00A65C02"/>
    <w:rsid w:val="00A65D65"/>
    <w:rsid w:val="00A65E2B"/>
    <w:rsid w:val="00A664CA"/>
    <w:rsid w:val="00A713E9"/>
    <w:rsid w:val="00A74C13"/>
    <w:rsid w:val="00A75725"/>
    <w:rsid w:val="00A8744E"/>
    <w:rsid w:val="00A8776D"/>
    <w:rsid w:val="00A92FC3"/>
    <w:rsid w:val="00A95389"/>
    <w:rsid w:val="00AA6ACD"/>
    <w:rsid w:val="00AB01D9"/>
    <w:rsid w:val="00AB1A8B"/>
    <w:rsid w:val="00AC29AD"/>
    <w:rsid w:val="00AC7033"/>
    <w:rsid w:val="00AD0597"/>
    <w:rsid w:val="00AD4108"/>
    <w:rsid w:val="00AD4BA6"/>
    <w:rsid w:val="00AE29FD"/>
    <w:rsid w:val="00AE2A15"/>
    <w:rsid w:val="00AF2968"/>
    <w:rsid w:val="00B046CE"/>
    <w:rsid w:val="00B12706"/>
    <w:rsid w:val="00B1434E"/>
    <w:rsid w:val="00B15006"/>
    <w:rsid w:val="00B262BD"/>
    <w:rsid w:val="00B27957"/>
    <w:rsid w:val="00B31897"/>
    <w:rsid w:val="00B41447"/>
    <w:rsid w:val="00B4460E"/>
    <w:rsid w:val="00B55F34"/>
    <w:rsid w:val="00B56615"/>
    <w:rsid w:val="00B5757D"/>
    <w:rsid w:val="00B57B8E"/>
    <w:rsid w:val="00B618E0"/>
    <w:rsid w:val="00B63507"/>
    <w:rsid w:val="00B648E3"/>
    <w:rsid w:val="00B85928"/>
    <w:rsid w:val="00B87D53"/>
    <w:rsid w:val="00B907BE"/>
    <w:rsid w:val="00BA1676"/>
    <w:rsid w:val="00BB566C"/>
    <w:rsid w:val="00BC0317"/>
    <w:rsid w:val="00BC4B11"/>
    <w:rsid w:val="00BC5C25"/>
    <w:rsid w:val="00BD26EE"/>
    <w:rsid w:val="00BD74A4"/>
    <w:rsid w:val="00BE26B7"/>
    <w:rsid w:val="00BE78EB"/>
    <w:rsid w:val="00BF066B"/>
    <w:rsid w:val="00BF598A"/>
    <w:rsid w:val="00C07EC4"/>
    <w:rsid w:val="00C10F28"/>
    <w:rsid w:val="00C162A1"/>
    <w:rsid w:val="00C17A6C"/>
    <w:rsid w:val="00C21181"/>
    <w:rsid w:val="00C30762"/>
    <w:rsid w:val="00C3284E"/>
    <w:rsid w:val="00C37193"/>
    <w:rsid w:val="00C41F9D"/>
    <w:rsid w:val="00C460FB"/>
    <w:rsid w:val="00C54064"/>
    <w:rsid w:val="00C616B5"/>
    <w:rsid w:val="00C6378B"/>
    <w:rsid w:val="00C72EE3"/>
    <w:rsid w:val="00C7588F"/>
    <w:rsid w:val="00C8102C"/>
    <w:rsid w:val="00C85C3A"/>
    <w:rsid w:val="00C8767C"/>
    <w:rsid w:val="00C94A26"/>
    <w:rsid w:val="00C953E6"/>
    <w:rsid w:val="00CA1A2F"/>
    <w:rsid w:val="00CA7662"/>
    <w:rsid w:val="00CB5F7B"/>
    <w:rsid w:val="00CC7E1C"/>
    <w:rsid w:val="00CD7B4F"/>
    <w:rsid w:val="00CE19FA"/>
    <w:rsid w:val="00CE6C4F"/>
    <w:rsid w:val="00CF1176"/>
    <w:rsid w:val="00CF204B"/>
    <w:rsid w:val="00CF3400"/>
    <w:rsid w:val="00CF3695"/>
    <w:rsid w:val="00CF459E"/>
    <w:rsid w:val="00CF5B07"/>
    <w:rsid w:val="00CF7B8E"/>
    <w:rsid w:val="00D02F47"/>
    <w:rsid w:val="00D0333C"/>
    <w:rsid w:val="00D07064"/>
    <w:rsid w:val="00D2005B"/>
    <w:rsid w:val="00D24B69"/>
    <w:rsid w:val="00D3730E"/>
    <w:rsid w:val="00D41E4C"/>
    <w:rsid w:val="00D42ADC"/>
    <w:rsid w:val="00D43D00"/>
    <w:rsid w:val="00D46041"/>
    <w:rsid w:val="00D50253"/>
    <w:rsid w:val="00D63E1A"/>
    <w:rsid w:val="00D66DBE"/>
    <w:rsid w:val="00D73751"/>
    <w:rsid w:val="00D82A8B"/>
    <w:rsid w:val="00D944C9"/>
    <w:rsid w:val="00DA4FE0"/>
    <w:rsid w:val="00DA6368"/>
    <w:rsid w:val="00DB30D6"/>
    <w:rsid w:val="00DB4072"/>
    <w:rsid w:val="00DB41E5"/>
    <w:rsid w:val="00DB4A81"/>
    <w:rsid w:val="00DB63B6"/>
    <w:rsid w:val="00DB64BA"/>
    <w:rsid w:val="00DC1915"/>
    <w:rsid w:val="00DD45E1"/>
    <w:rsid w:val="00DD5100"/>
    <w:rsid w:val="00DE4D17"/>
    <w:rsid w:val="00E01F5F"/>
    <w:rsid w:val="00E21532"/>
    <w:rsid w:val="00E32859"/>
    <w:rsid w:val="00E41BB8"/>
    <w:rsid w:val="00E42148"/>
    <w:rsid w:val="00E423D7"/>
    <w:rsid w:val="00E62C0F"/>
    <w:rsid w:val="00E66AC2"/>
    <w:rsid w:val="00E73351"/>
    <w:rsid w:val="00E80151"/>
    <w:rsid w:val="00E959EE"/>
    <w:rsid w:val="00E97538"/>
    <w:rsid w:val="00EA3791"/>
    <w:rsid w:val="00EA6B11"/>
    <w:rsid w:val="00EB5062"/>
    <w:rsid w:val="00EB74CE"/>
    <w:rsid w:val="00EC058E"/>
    <w:rsid w:val="00ED61F4"/>
    <w:rsid w:val="00EE2F17"/>
    <w:rsid w:val="00EF45EA"/>
    <w:rsid w:val="00EF45EB"/>
    <w:rsid w:val="00EF6031"/>
    <w:rsid w:val="00EF7289"/>
    <w:rsid w:val="00F0347E"/>
    <w:rsid w:val="00F04A23"/>
    <w:rsid w:val="00F04EA3"/>
    <w:rsid w:val="00F204C7"/>
    <w:rsid w:val="00F234B1"/>
    <w:rsid w:val="00F258B7"/>
    <w:rsid w:val="00F36E0F"/>
    <w:rsid w:val="00F4658A"/>
    <w:rsid w:val="00F51B20"/>
    <w:rsid w:val="00F539F2"/>
    <w:rsid w:val="00F540E7"/>
    <w:rsid w:val="00F57619"/>
    <w:rsid w:val="00F57B48"/>
    <w:rsid w:val="00F6094D"/>
    <w:rsid w:val="00F6552D"/>
    <w:rsid w:val="00F71034"/>
    <w:rsid w:val="00F74C69"/>
    <w:rsid w:val="00F848A4"/>
    <w:rsid w:val="00F8654E"/>
    <w:rsid w:val="00F92447"/>
    <w:rsid w:val="00F94B91"/>
    <w:rsid w:val="00F960DB"/>
    <w:rsid w:val="00F97F7F"/>
    <w:rsid w:val="00FA0D68"/>
    <w:rsid w:val="00FC64FA"/>
    <w:rsid w:val="00FD3277"/>
    <w:rsid w:val="00FE3157"/>
    <w:rsid w:val="00FE33FB"/>
    <w:rsid w:val="00FE4C89"/>
    <w:rsid w:val="00FE6555"/>
    <w:rsid w:val="00FF467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5C421561"/>
  <w15:docId w15:val="{E9E33522-A6F3-4676-8DDE-52B60F2D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247FC2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7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47FC2"/>
    <w:pPr>
      <w:spacing w:after="0"/>
      <w:ind w:left="360" w:hanging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47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247FC2"/>
    <w:pPr>
      <w:spacing w:after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47F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A5AF5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8A5AF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15BD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5B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615BDE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615BD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C1C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1C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1C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C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44708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4470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2E339A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774D1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1-BS">
    <w:name w:val="Nadpis 1 - BS"/>
    <w:next w:val="Nadpis2-BS"/>
    <w:qFormat/>
    <w:rsid w:val="00067A98"/>
    <w:pPr>
      <w:numPr>
        <w:numId w:val="52"/>
      </w:numPr>
      <w:spacing w:before="240" w:after="60" w:line="240" w:lineRule="auto"/>
    </w:pPr>
    <w:rPr>
      <w:rFonts w:ascii="Calibri" w:eastAsia="Times New Roman" w:hAnsi="Calibri" w:cs="Times New Roman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067A98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Nadpis4-BS">
    <w:name w:val="Nadpis 4 - BS"/>
    <w:basedOn w:val="Nadpis2-BS"/>
    <w:qFormat/>
    <w:rsid w:val="00067A98"/>
    <w:pPr>
      <w:numPr>
        <w:ilvl w:val="3"/>
      </w:numPr>
      <w:tabs>
        <w:tab w:val="clear" w:pos="1272"/>
        <w:tab w:val="left" w:pos="1843"/>
      </w:tabs>
      <w:ind w:left="2520" w:hanging="360"/>
    </w:pPr>
  </w:style>
  <w:style w:type="paragraph" w:customStyle="1" w:styleId="Nadpis5-BS">
    <w:name w:val="Nadpis 5 - BS"/>
    <w:basedOn w:val="Nadpis4-BS"/>
    <w:qFormat/>
    <w:rsid w:val="00067A98"/>
    <w:pPr>
      <w:numPr>
        <w:ilvl w:val="4"/>
      </w:numPr>
      <w:tabs>
        <w:tab w:val="clear" w:pos="1134"/>
      </w:tabs>
      <w:ind w:left="3240" w:hanging="360"/>
    </w:pPr>
  </w:style>
  <w:style w:type="character" w:customStyle="1" w:styleId="Nadpis2-BSChar">
    <w:name w:val="Nadpis 2 - BS Char"/>
    <w:link w:val="Nadpis2-BS"/>
    <w:locked/>
    <w:rsid w:val="00067A98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Nadpis3-BS">
    <w:name w:val="Nadpis 3 -BS"/>
    <w:basedOn w:val="Nadpis2-BS"/>
    <w:qFormat/>
    <w:rsid w:val="00067A98"/>
    <w:pPr>
      <w:numPr>
        <w:ilvl w:val="2"/>
      </w:numPr>
      <w:tabs>
        <w:tab w:val="clear" w:pos="1701"/>
      </w:tabs>
      <w:ind w:left="1800" w:hanging="180"/>
    </w:pPr>
  </w:style>
  <w:style w:type="paragraph" w:styleId="Normlnweb">
    <w:name w:val="Normal (Web)"/>
    <w:basedOn w:val="Normln"/>
    <w:uiPriority w:val="99"/>
    <w:unhideWhenUsed/>
    <w:rsid w:val="0003297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ove1">
    <w:name w:val="úroveň 1"/>
    <w:basedOn w:val="Normln"/>
    <w:next w:val="rove2"/>
    <w:rsid w:val="00A357FE"/>
    <w:pPr>
      <w:numPr>
        <w:numId w:val="58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A357FE"/>
    <w:pPr>
      <w:numPr>
        <w:ilvl w:val="1"/>
        <w:numId w:val="58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kuzmiakov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pkovah\Dokumenty\Nove%20logo\Vzory%20&#353;ablon%20-%20nov&#233;%20logo\tiskoviny-A4\A-vzor\A-cb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9FAE-F585-4DC9-A7BC-9EFF9AAF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A-cb-v.dotx</Template>
  <TotalTime>0</TotalTime>
  <Pages>4</Pages>
  <Words>1619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Pecha Stanislav</dc:creator>
  <cp:lastModifiedBy>Janečková Iveta, Bc.</cp:lastModifiedBy>
  <cp:revision>3</cp:revision>
  <cp:lastPrinted>2011-01-11T13:57:00Z</cp:lastPrinted>
  <dcterms:created xsi:type="dcterms:W3CDTF">2024-07-03T11:43:00Z</dcterms:created>
  <dcterms:modified xsi:type="dcterms:W3CDTF">2024-07-03T11:43:00Z</dcterms:modified>
</cp:coreProperties>
</file>