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Arial" w:eastAsia="Times New Roman" w:hAnsi="Arial" w:cs="Times New Roman"/>
          <w:b w:val="0"/>
          <w:bCs w:val="0"/>
          <w:color w:val="auto"/>
          <w:spacing w:val="-5"/>
          <w:sz w:val="20"/>
          <w:szCs w:val="20"/>
          <w:lang w:eastAsia="cs-CZ"/>
        </w:rPr>
        <w:id w:val="-1805922608"/>
        <w:docPartObj>
          <w:docPartGallery w:val="Table of Contents"/>
          <w:docPartUnique/>
        </w:docPartObj>
      </w:sdtPr>
      <w:sdtEndPr/>
      <w:sdtContent>
        <w:p w14:paraId="23BDBF25" w14:textId="5D59696B" w:rsidR="00C41C6D" w:rsidRPr="00E61F98" w:rsidRDefault="00C41C6D" w:rsidP="004253C7">
          <w:pPr>
            <w:pStyle w:val="Nadpisobsahu"/>
            <w:numPr>
              <w:ilvl w:val="0"/>
              <w:numId w:val="0"/>
            </w:numPr>
            <w:spacing w:before="0"/>
            <w:rPr>
              <w:rFonts w:asciiTheme="minorHAnsi" w:hAnsiTheme="minorHAnsi" w:cstheme="minorHAnsi"/>
              <w:b w:val="0"/>
              <w:color w:val="auto"/>
            </w:rPr>
          </w:pPr>
          <w:r w:rsidRPr="00E61F98">
            <w:rPr>
              <w:rFonts w:asciiTheme="minorHAnsi" w:hAnsiTheme="minorHAnsi" w:cstheme="minorHAnsi"/>
              <w:b w:val="0"/>
              <w:color w:val="auto"/>
            </w:rPr>
            <w:t>Obsah</w:t>
          </w:r>
        </w:p>
        <w:p w14:paraId="6BAC1D6E" w14:textId="4B713A67" w:rsidR="00ED5F37" w:rsidRDefault="00C41C6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kern w:val="2"/>
              <w:sz w:val="22"/>
              <w:szCs w:val="22"/>
              <w14:ligatures w14:val="standardContextual"/>
            </w:rPr>
          </w:pPr>
          <w:r w:rsidRPr="00E61F98">
            <w:rPr>
              <w:rFonts w:asciiTheme="minorHAnsi" w:hAnsiTheme="minorHAnsi" w:cstheme="minorHAnsi"/>
              <w:b w:val="0"/>
              <w:sz w:val="22"/>
              <w:szCs w:val="22"/>
            </w:rPr>
            <w:fldChar w:fldCharType="begin"/>
          </w:r>
          <w:r w:rsidRPr="00E61F98">
            <w:rPr>
              <w:rFonts w:asciiTheme="minorHAnsi" w:hAnsiTheme="minorHAnsi" w:cstheme="minorHAnsi"/>
              <w:b w:val="0"/>
              <w:sz w:val="22"/>
              <w:szCs w:val="22"/>
            </w:rPr>
            <w:instrText xml:space="preserve"> TOC \o "1-3" \h \z \u </w:instrText>
          </w:r>
          <w:r w:rsidRPr="00E61F98">
            <w:rPr>
              <w:rFonts w:asciiTheme="minorHAnsi" w:hAnsiTheme="minorHAnsi" w:cstheme="minorHAnsi"/>
              <w:b w:val="0"/>
              <w:sz w:val="22"/>
              <w:szCs w:val="22"/>
            </w:rPr>
            <w:fldChar w:fldCharType="separate"/>
          </w:r>
          <w:hyperlink w:anchor="_Toc160524333" w:history="1">
            <w:r w:rsidR="00ED5F37" w:rsidRPr="001C14A6">
              <w:rPr>
                <w:rStyle w:val="Hypertextovodkaz"/>
              </w:rPr>
              <w:t>1.</w:t>
            </w:r>
            <w:r w:rsidR="00ED5F37">
              <w:rPr>
                <w:rFonts w:asciiTheme="minorHAnsi" w:eastAsiaTheme="minorEastAsia" w:hAnsiTheme="minorHAnsi" w:cstheme="minorBidi"/>
                <w:b w:val="0"/>
                <w:caps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</w:rPr>
              <w:t>VŠEOBECNÉ ÚDAJE</w:t>
            </w:r>
            <w:r w:rsidR="00ED5F37">
              <w:rPr>
                <w:webHidden/>
              </w:rPr>
              <w:tab/>
            </w:r>
            <w:r w:rsidR="00ED5F37">
              <w:rPr>
                <w:webHidden/>
              </w:rPr>
              <w:fldChar w:fldCharType="begin"/>
            </w:r>
            <w:r w:rsidR="00ED5F37">
              <w:rPr>
                <w:webHidden/>
              </w:rPr>
              <w:instrText xml:space="preserve"> PAGEREF _Toc160524333 \h </w:instrText>
            </w:r>
            <w:r w:rsidR="00ED5F37">
              <w:rPr>
                <w:webHidden/>
              </w:rPr>
            </w:r>
            <w:r w:rsidR="00ED5F37">
              <w:rPr>
                <w:webHidden/>
              </w:rPr>
              <w:fldChar w:fldCharType="separate"/>
            </w:r>
            <w:r w:rsidR="00ED5F37">
              <w:rPr>
                <w:webHidden/>
              </w:rPr>
              <w:t>2</w:t>
            </w:r>
            <w:r w:rsidR="00ED5F37">
              <w:rPr>
                <w:webHidden/>
              </w:rPr>
              <w:fldChar w:fldCharType="end"/>
            </w:r>
          </w:hyperlink>
        </w:p>
        <w:p w14:paraId="44F1E698" w14:textId="42FCACDA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34" w:history="1">
            <w:r w:rsidR="00ED5F37" w:rsidRPr="001C14A6">
              <w:rPr>
                <w:rStyle w:val="Hypertextovodkaz"/>
                <w:noProof/>
              </w:rPr>
              <w:t>1.1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Rozsah a obsah projektu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_Toc160524334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2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F2822C6" w14:textId="34FC3933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35" w:history="1">
            <w:r w:rsidR="00ED5F37" w:rsidRPr="001C14A6">
              <w:rPr>
                <w:rStyle w:val="Hypertextovodkaz"/>
                <w:noProof/>
              </w:rPr>
              <w:t>1.2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Výchozí podklady a požadavky na profesi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_Toc160524335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2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11CAB955" w14:textId="51E2FFE4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36" w:history="1">
            <w:r w:rsidR="00ED5F37" w:rsidRPr="001C14A6">
              <w:rPr>
                <w:rStyle w:val="Hypertextovodkaz"/>
                <w:noProof/>
              </w:rPr>
              <w:t>1.3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Seznam používaných zkratek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_Toc160524336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2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2934BC96" w14:textId="194751AC" w:rsidR="00ED5F37" w:rsidRDefault="00DC6659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kern w:val="2"/>
              <w:sz w:val="22"/>
              <w:szCs w:val="22"/>
              <w14:ligatures w14:val="standardContextual"/>
            </w:rPr>
          </w:pPr>
          <w:hyperlink w:anchor="_Toc160524337" w:history="1">
            <w:r w:rsidR="00ED5F37" w:rsidRPr="001C14A6">
              <w:rPr>
                <w:rStyle w:val="Hypertextovodkaz"/>
              </w:rPr>
              <w:t>2.</w:t>
            </w:r>
            <w:r w:rsidR="00ED5F37">
              <w:rPr>
                <w:rFonts w:asciiTheme="minorHAnsi" w:eastAsiaTheme="minorEastAsia" w:hAnsiTheme="minorHAnsi" w:cstheme="minorBidi"/>
                <w:b w:val="0"/>
                <w:caps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</w:rPr>
              <w:t>VÝPIS POUŽITÝCH NOREM</w:t>
            </w:r>
            <w:r w:rsidR="00ED5F37">
              <w:rPr>
                <w:webHidden/>
              </w:rPr>
              <w:tab/>
            </w:r>
            <w:r w:rsidR="00ED5F37">
              <w:rPr>
                <w:webHidden/>
              </w:rPr>
              <w:fldChar w:fldCharType="begin"/>
            </w:r>
            <w:r w:rsidR="00ED5F37">
              <w:rPr>
                <w:webHidden/>
              </w:rPr>
              <w:instrText xml:space="preserve"> PAGEREF _Toc160524337 \h </w:instrText>
            </w:r>
            <w:r w:rsidR="00ED5F37">
              <w:rPr>
                <w:webHidden/>
              </w:rPr>
            </w:r>
            <w:r w:rsidR="00ED5F37">
              <w:rPr>
                <w:webHidden/>
              </w:rPr>
              <w:fldChar w:fldCharType="separate"/>
            </w:r>
            <w:r w:rsidR="00ED5F37">
              <w:rPr>
                <w:webHidden/>
              </w:rPr>
              <w:t>3</w:t>
            </w:r>
            <w:r w:rsidR="00ED5F37">
              <w:rPr>
                <w:webHidden/>
              </w:rPr>
              <w:fldChar w:fldCharType="end"/>
            </w:r>
          </w:hyperlink>
        </w:p>
        <w:p w14:paraId="67337DA3" w14:textId="213D0B61" w:rsidR="00ED5F37" w:rsidRDefault="00DC6659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kern w:val="2"/>
              <w:sz w:val="22"/>
              <w:szCs w:val="22"/>
              <w14:ligatures w14:val="standardContextual"/>
            </w:rPr>
          </w:pPr>
          <w:hyperlink w:anchor="_Toc160524338" w:history="1">
            <w:r w:rsidR="00ED5F37" w:rsidRPr="001C14A6">
              <w:rPr>
                <w:rStyle w:val="Hypertextovodkaz"/>
                <w:rFonts w:cs="Calibri"/>
                <w:bCs/>
              </w:rPr>
              <w:t>3.</w:t>
            </w:r>
            <w:r w:rsidR="00ED5F37">
              <w:rPr>
                <w:rFonts w:asciiTheme="minorHAnsi" w:eastAsiaTheme="minorEastAsia" w:hAnsiTheme="minorHAnsi" w:cstheme="minorBidi"/>
                <w:b w:val="0"/>
                <w:caps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</w:rPr>
              <w:t>TECHNICKÉ ÚDAJE</w:t>
            </w:r>
            <w:r w:rsidR="00ED5F37">
              <w:rPr>
                <w:webHidden/>
              </w:rPr>
              <w:tab/>
            </w:r>
            <w:r w:rsidR="00ED5F37">
              <w:rPr>
                <w:webHidden/>
              </w:rPr>
              <w:fldChar w:fldCharType="begin"/>
            </w:r>
            <w:r w:rsidR="00ED5F37">
              <w:rPr>
                <w:webHidden/>
              </w:rPr>
              <w:instrText xml:space="preserve"> PAGEREF _Toc160524338 \h </w:instrText>
            </w:r>
            <w:r w:rsidR="00ED5F37">
              <w:rPr>
                <w:webHidden/>
              </w:rPr>
            </w:r>
            <w:r w:rsidR="00ED5F37">
              <w:rPr>
                <w:webHidden/>
              </w:rPr>
              <w:fldChar w:fldCharType="separate"/>
            </w:r>
            <w:r w:rsidR="00ED5F37">
              <w:rPr>
                <w:webHidden/>
              </w:rPr>
              <w:t>4</w:t>
            </w:r>
            <w:r w:rsidR="00ED5F37">
              <w:rPr>
                <w:webHidden/>
              </w:rPr>
              <w:fldChar w:fldCharType="end"/>
            </w:r>
          </w:hyperlink>
        </w:p>
        <w:p w14:paraId="3D67CA6E" w14:textId="62403C44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39" w:history="1">
            <w:r w:rsidR="00ED5F37" w:rsidRPr="001C14A6">
              <w:rPr>
                <w:rStyle w:val="Hypertextovodkaz"/>
                <w:noProof/>
              </w:rPr>
              <w:t>3.1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Napěťové soustavy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_Toc160524339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1CDAD3C" w14:textId="34EACAD2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0" w:history="1">
            <w:r w:rsidR="00ED5F37" w:rsidRPr="001C14A6">
              <w:rPr>
                <w:rStyle w:val="Hypertextovodkaz"/>
                <w:noProof/>
              </w:rPr>
              <w:t>3.2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Vnější vlivy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_Toc160524340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A7BB761" w14:textId="27706C0F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1" w:history="1">
            <w:r w:rsidR="00ED5F37" w:rsidRPr="001C14A6">
              <w:rPr>
                <w:rStyle w:val="Hypertextovodkaz"/>
                <w:noProof/>
              </w:rPr>
              <w:t>3.3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Prostředí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_Toc160524341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736E33F" w14:textId="3639E15A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2" w:history="1">
            <w:r w:rsidR="00ED5F37" w:rsidRPr="001C14A6">
              <w:rPr>
                <w:rStyle w:val="Hypertextovodkaz"/>
                <w:noProof/>
              </w:rPr>
              <w:t>3.4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Krytí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_Toc160524342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6FB8CE03" w14:textId="089B10BD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3" w:history="1">
            <w:r w:rsidR="00ED5F37" w:rsidRPr="001C14A6">
              <w:rPr>
                <w:rStyle w:val="Hypertextovodkaz"/>
                <w:noProof/>
              </w:rPr>
              <w:t>3.6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Ochrana před úrazem elektrickým proudem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_Toc160524343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1FC43909" w14:textId="3F6F2BBA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4" w:history="1">
            <w:r w:rsidR="00ED5F37" w:rsidRPr="001C14A6">
              <w:rPr>
                <w:rStyle w:val="Hypertextovodkaz"/>
                <w:noProof/>
              </w:rPr>
              <w:t>3.7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Hodnoty osvětlení komunikací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_Toc160524344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45CCD022" w14:textId="7B8AB89F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5" w:history="1">
            <w:r w:rsidR="00ED5F37" w:rsidRPr="001C14A6">
              <w:rPr>
                <w:rStyle w:val="Hypertextovodkaz"/>
                <w:noProof/>
              </w:rPr>
              <w:t>3.8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Uzemnění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_Toc160524345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D59753A" w14:textId="20D4F269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6" w:history="1">
            <w:r w:rsidR="00ED5F37" w:rsidRPr="001C14A6">
              <w:rPr>
                <w:rStyle w:val="Hypertextovodkaz"/>
                <w:noProof/>
              </w:rPr>
              <w:t>3.9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Druh vedení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_Toc160524346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4BF319D8" w14:textId="3B66FC8F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7" w:history="1">
            <w:r w:rsidR="00ED5F37" w:rsidRPr="001C14A6">
              <w:rPr>
                <w:rStyle w:val="Hypertextovodkaz"/>
                <w:noProof/>
              </w:rPr>
              <w:t>3.10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Bilance spotřeby elektrické energie a instalovaný příkon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_Toc160524347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48336343" w14:textId="3E10928C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8" w:history="1">
            <w:r w:rsidR="00ED5F37" w:rsidRPr="001C14A6">
              <w:rPr>
                <w:rStyle w:val="Hypertextovodkaz"/>
                <w:noProof/>
              </w:rPr>
              <w:t>3.11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Měření spotřeb elektrické energie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_Toc160524348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7673DB7A" w14:textId="5D6EF076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49" w:history="1">
            <w:r w:rsidR="00ED5F37" w:rsidRPr="001C14A6">
              <w:rPr>
                <w:rStyle w:val="Hypertextovodkaz"/>
                <w:noProof/>
              </w:rPr>
              <w:t>3.12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Elektromagnetická kompatibilita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_Toc160524349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5B7C4DD" w14:textId="52C4F1E3" w:rsidR="00ED5F37" w:rsidRDefault="00DC6659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kern w:val="2"/>
              <w:sz w:val="22"/>
              <w:szCs w:val="22"/>
              <w14:ligatures w14:val="standardContextual"/>
            </w:rPr>
          </w:pPr>
          <w:hyperlink w:anchor="_Toc160524350" w:history="1">
            <w:r w:rsidR="00ED5F37" w:rsidRPr="001C14A6">
              <w:rPr>
                <w:rStyle w:val="Hypertextovodkaz"/>
                <w:rFonts w:cs="Calibri"/>
                <w:bCs/>
              </w:rPr>
              <w:t>4.</w:t>
            </w:r>
            <w:r w:rsidR="00ED5F37">
              <w:rPr>
                <w:rFonts w:asciiTheme="minorHAnsi" w:eastAsiaTheme="minorEastAsia" w:hAnsiTheme="minorHAnsi" w:cstheme="minorBidi"/>
                <w:b w:val="0"/>
                <w:caps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</w:rPr>
              <w:t>POPIS NAVRŽENÉHO ŘEŠENÍ</w:t>
            </w:r>
            <w:r w:rsidR="00ED5F37">
              <w:rPr>
                <w:webHidden/>
              </w:rPr>
              <w:tab/>
            </w:r>
            <w:r w:rsidR="00ED5F37">
              <w:rPr>
                <w:webHidden/>
              </w:rPr>
              <w:fldChar w:fldCharType="begin"/>
            </w:r>
            <w:r w:rsidR="00ED5F37">
              <w:rPr>
                <w:webHidden/>
              </w:rPr>
              <w:instrText xml:space="preserve"> PAGEREF _Toc160524350 \h </w:instrText>
            </w:r>
            <w:r w:rsidR="00ED5F37">
              <w:rPr>
                <w:webHidden/>
              </w:rPr>
            </w:r>
            <w:r w:rsidR="00ED5F37">
              <w:rPr>
                <w:webHidden/>
              </w:rPr>
              <w:fldChar w:fldCharType="separate"/>
            </w:r>
            <w:r w:rsidR="00ED5F37">
              <w:rPr>
                <w:webHidden/>
              </w:rPr>
              <w:t>6</w:t>
            </w:r>
            <w:r w:rsidR="00ED5F37">
              <w:rPr>
                <w:webHidden/>
              </w:rPr>
              <w:fldChar w:fldCharType="end"/>
            </w:r>
          </w:hyperlink>
        </w:p>
        <w:p w14:paraId="060841B5" w14:textId="2425440A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1" w:history="1">
            <w:r w:rsidR="00ED5F37" w:rsidRPr="001C14A6">
              <w:rPr>
                <w:rStyle w:val="Hypertextovodkaz"/>
                <w:noProof/>
              </w:rPr>
              <w:t>4.1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Způsob připojení na místní technickou infrastrukturu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_Toc160524351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7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5CD740E" w14:textId="3094718B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2" w:history="1">
            <w:r w:rsidR="00ED5F37" w:rsidRPr="001C14A6">
              <w:rPr>
                <w:rStyle w:val="Hypertextovodkaz"/>
                <w:noProof/>
              </w:rPr>
              <w:t>4.2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Rozvaděč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_Toc160524352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7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35E9F283" w14:textId="018B1F43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3" w:history="1">
            <w:r w:rsidR="00ED5F37" w:rsidRPr="001C14A6">
              <w:rPr>
                <w:rStyle w:val="Hypertextovodkaz"/>
                <w:noProof/>
              </w:rPr>
              <w:t>4.3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Zemní rozvody VO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_Toc160524353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7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6B09529F" w14:textId="604D5B94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4" w:history="1">
            <w:r w:rsidR="00ED5F37" w:rsidRPr="001C14A6">
              <w:rPr>
                <w:rStyle w:val="Hypertextovodkaz"/>
                <w:noProof/>
              </w:rPr>
              <w:t>4.4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Označení svítidel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_Toc160524354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8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FB37F18" w14:textId="4B6DC077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5" w:history="1">
            <w:r w:rsidR="00ED5F37" w:rsidRPr="001C14A6">
              <w:rPr>
                <w:rStyle w:val="Hypertextovodkaz"/>
                <w:noProof/>
              </w:rPr>
              <w:t>4.5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Výzbroj osvětlovacích bodů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_Toc160524355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8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41F93C3" w14:textId="060355B8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6" w:history="1">
            <w:r w:rsidR="00ED5F37" w:rsidRPr="001C14A6">
              <w:rPr>
                <w:rStyle w:val="Hypertextovodkaz"/>
                <w:noProof/>
              </w:rPr>
              <w:t>4.6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Ochrana před přepětím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_Toc160524356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8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4A7463B9" w14:textId="0D719B79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7" w:history="1">
            <w:r w:rsidR="00ED5F37" w:rsidRPr="001C14A6">
              <w:rPr>
                <w:rStyle w:val="Hypertextovodkaz"/>
                <w:noProof/>
              </w:rPr>
              <w:t>4.7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Zemní práce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_Toc160524357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9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6E229FC6" w14:textId="1ABEB170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8" w:history="1">
            <w:r w:rsidR="00ED5F37" w:rsidRPr="001C14A6">
              <w:rPr>
                <w:rStyle w:val="Hypertextovodkaz"/>
                <w:noProof/>
              </w:rPr>
              <w:t>4.8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Křížení a souběhy, ochranná pásma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_Toc160524358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9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41585A87" w14:textId="315CCAF8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59" w:history="1">
            <w:r w:rsidR="00ED5F37" w:rsidRPr="001C14A6">
              <w:rPr>
                <w:rStyle w:val="Hypertextovodkaz"/>
                <w:noProof/>
              </w:rPr>
              <w:t>4.9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Vyjádření o podzemních zařízeních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_Toc160524359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10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7595C096" w14:textId="5DF61F98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0" w:history="1">
            <w:r w:rsidR="00ED5F37" w:rsidRPr="001C14A6">
              <w:rPr>
                <w:rStyle w:val="Hypertextovodkaz"/>
                <w:noProof/>
              </w:rPr>
              <w:t>4.10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Požární opatření a požadavky na rozvody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_Toc160524360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10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D0A28A4" w14:textId="60971C20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1" w:history="1">
            <w:r w:rsidR="00ED5F37" w:rsidRPr="001C14A6">
              <w:rPr>
                <w:rStyle w:val="Hypertextovodkaz"/>
                <w:noProof/>
              </w:rPr>
              <w:t>4.11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Způsob napájení a vypínání objektu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_Toc160524361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10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59C5CFA7" w14:textId="58F7B82B" w:rsidR="00ED5F37" w:rsidRDefault="00DC6659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kern w:val="2"/>
              <w:sz w:val="22"/>
              <w:szCs w:val="22"/>
              <w14:ligatures w14:val="standardContextual"/>
            </w:rPr>
          </w:pPr>
          <w:hyperlink w:anchor="_Toc160524362" w:history="1">
            <w:r w:rsidR="00ED5F37" w:rsidRPr="001C14A6">
              <w:rPr>
                <w:rStyle w:val="Hypertextovodkaz"/>
                <w:rFonts w:cs="Calibri"/>
                <w:bCs/>
              </w:rPr>
              <w:t>5.</w:t>
            </w:r>
            <w:r w:rsidR="00ED5F37">
              <w:rPr>
                <w:rFonts w:asciiTheme="minorHAnsi" w:eastAsiaTheme="minorEastAsia" w:hAnsiTheme="minorHAnsi" w:cstheme="minorBidi"/>
                <w:b w:val="0"/>
                <w:caps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</w:rPr>
              <w:t>BEZPEČNOST PŘI REALIZACI A UŽÍVÁNÍ</w:t>
            </w:r>
            <w:r w:rsidR="00ED5F37">
              <w:rPr>
                <w:webHidden/>
              </w:rPr>
              <w:tab/>
            </w:r>
            <w:r w:rsidR="00ED5F37">
              <w:rPr>
                <w:webHidden/>
              </w:rPr>
              <w:fldChar w:fldCharType="begin"/>
            </w:r>
            <w:r w:rsidR="00ED5F37">
              <w:rPr>
                <w:webHidden/>
              </w:rPr>
              <w:instrText xml:space="preserve"> PAGEREF _Toc160524362 \h </w:instrText>
            </w:r>
            <w:r w:rsidR="00ED5F37">
              <w:rPr>
                <w:webHidden/>
              </w:rPr>
            </w:r>
            <w:r w:rsidR="00ED5F37">
              <w:rPr>
                <w:webHidden/>
              </w:rPr>
              <w:fldChar w:fldCharType="separate"/>
            </w:r>
            <w:r w:rsidR="00ED5F37">
              <w:rPr>
                <w:webHidden/>
              </w:rPr>
              <w:t>11</w:t>
            </w:r>
            <w:r w:rsidR="00ED5F37">
              <w:rPr>
                <w:webHidden/>
              </w:rPr>
              <w:fldChar w:fldCharType="end"/>
            </w:r>
          </w:hyperlink>
        </w:p>
        <w:p w14:paraId="14BC1CBA" w14:textId="56AAF43B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3" w:history="1">
            <w:r w:rsidR="00ED5F37" w:rsidRPr="001C14A6">
              <w:rPr>
                <w:rStyle w:val="Hypertextovodkaz"/>
                <w:noProof/>
              </w:rPr>
              <w:t>5.1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Zařazení zařízení do tříd a skupin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_Toc160524363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11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FA6C3FF" w14:textId="7C6AA442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4" w:history="1">
            <w:r w:rsidR="00ED5F37" w:rsidRPr="001C14A6">
              <w:rPr>
                <w:rStyle w:val="Hypertextovodkaz"/>
                <w:noProof/>
              </w:rPr>
              <w:t>5.2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Podmínky pro realizaci díla a jeho uvedení do provozu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_Toc160524364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11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0BB9B880" w14:textId="1C98AAA7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5" w:history="1">
            <w:r w:rsidR="00ED5F37" w:rsidRPr="001C14A6">
              <w:rPr>
                <w:rStyle w:val="Hypertextovodkaz"/>
                <w:noProof/>
              </w:rPr>
              <w:t>5.3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Zásady ochrany zdraví a bezpečnosti práce, související předpisy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_Toc160524365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14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6EE7B614" w14:textId="1423A230" w:rsidR="00ED5F37" w:rsidRDefault="00DC6659">
          <w:pPr>
            <w:pStyle w:val="Obsah2"/>
            <w:tabs>
              <w:tab w:val="left" w:pos="993"/>
              <w:tab w:val="right" w:pos="9060"/>
            </w:tabs>
            <w:rPr>
              <w:rFonts w:asciiTheme="minorHAnsi" w:eastAsiaTheme="minorEastAsia" w:hAnsiTheme="minorHAnsi" w:cstheme="minorBidi"/>
              <w:noProof/>
              <w:spacing w:val="0"/>
              <w:kern w:val="2"/>
              <w:sz w:val="22"/>
              <w:szCs w:val="22"/>
              <w14:ligatures w14:val="standardContextual"/>
            </w:rPr>
          </w:pPr>
          <w:hyperlink w:anchor="_Toc160524366" w:history="1">
            <w:r w:rsidR="00ED5F37" w:rsidRPr="001C14A6">
              <w:rPr>
                <w:rStyle w:val="Hypertextovodkaz"/>
                <w:noProof/>
              </w:rPr>
              <w:t>5.4</w:t>
            </w:r>
            <w:r w:rsidR="00ED5F37">
              <w:rPr>
                <w:rFonts w:asciiTheme="minorHAnsi" w:eastAsiaTheme="minorEastAsia" w:hAnsiTheme="minorHAnsi" w:cstheme="minorBidi"/>
                <w:noProof/>
                <w:spacing w:val="0"/>
                <w:kern w:val="2"/>
                <w:sz w:val="22"/>
                <w:szCs w:val="22"/>
                <w14:ligatures w14:val="standardContextual"/>
              </w:rPr>
              <w:tab/>
            </w:r>
            <w:r w:rsidR="00ED5F37" w:rsidRPr="001C14A6">
              <w:rPr>
                <w:rStyle w:val="Hypertextovodkaz"/>
                <w:noProof/>
              </w:rPr>
              <w:t>Zásady ochrany životního prostředí</w:t>
            </w:r>
            <w:r w:rsidR="00ED5F37">
              <w:rPr>
                <w:noProof/>
                <w:webHidden/>
              </w:rPr>
              <w:tab/>
            </w:r>
            <w:r w:rsidR="00ED5F37">
              <w:rPr>
                <w:noProof/>
                <w:webHidden/>
              </w:rPr>
              <w:fldChar w:fldCharType="begin"/>
            </w:r>
            <w:r w:rsidR="00ED5F37">
              <w:rPr>
                <w:noProof/>
                <w:webHidden/>
              </w:rPr>
              <w:instrText xml:space="preserve"> PAGEREF _Toc160524366 \h </w:instrText>
            </w:r>
            <w:r w:rsidR="00ED5F37">
              <w:rPr>
                <w:noProof/>
                <w:webHidden/>
              </w:rPr>
            </w:r>
            <w:r w:rsidR="00ED5F37">
              <w:rPr>
                <w:noProof/>
                <w:webHidden/>
              </w:rPr>
              <w:fldChar w:fldCharType="separate"/>
            </w:r>
            <w:r w:rsidR="00ED5F37">
              <w:rPr>
                <w:noProof/>
                <w:webHidden/>
              </w:rPr>
              <w:t>15</w:t>
            </w:r>
            <w:r w:rsidR="00ED5F37">
              <w:rPr>
                <w:noProof/>
                <w:webHidden/>
              </w:rPr>
              <w:fldChar w:fldCharType="end"/>
            </w:r>
          </w:hyperlink>
        </w:p>
        <w:p w14:paraId="2D892833" w14:textId="4A410438" w:rsidR="000A7A39" w:rsidRPr="00BF2376" w:rsidRDefault="00C41C6D" w:rsidP="00BF2376">
          <w:r w:rsidRPr="00E61F98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14:paraId="040F99A1" w14:textId="77777777" w:rsidR="00056049" w:rsidRDefault="00056049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42636837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0FE6A006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4F71E60A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DC4E787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57CE6F7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197670CC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1C780567" w14:textId="77777777" w:rsidR="00ED5F37" w:rsidRDefault="00ED5F37" w:rsidP="00225F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4F149CD" w14:textId="6FFD8F44" w:rsidR="00E7501D" w:rsidRPr="00C068D2" w:rsidRDefault="00987739" w:rsidP="00831B34">
      <w:pPr>
        <w:pStyle w:val="Nadpis1"/>
        <w:numPr>
          <w:ilvl w:val="0"/>
          <w:numId w:val="8"/>
        </w:numPr>
      </w:pPr>
      <w:bookmarkStart w:id="0" w:name="_Toc160524333"/>
      <w:r w:rsidRPr="00C068D2">
        <w:lastRenderedPageBreak/>
        <w:t>VŠEOBECNÉ ÚDAJE</w:t>
      </w:r>
      <w:bookmarkEnd w:id="0"/>
    </w:p>
    <w:p w14:paraId="0BA423FB" w14:textId="77777777" w:rsidR="00987739" w:rsidRPr="00987739" w:rsidRDefault="00987739" w:rsidP="00987739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</w:p>
    <w:p w14:paraId="5E237B10" w14:textId="7603E70F" w:rsidR="00987739" w:rsidRPr="00C068D2" w:rsidRDefault="00987739" w:rsidP="00C068D2">
      <w:pPr>
        <w:pStyle w:val="Nadpis2"/>
      </w:pPr>
      <w:bookmarkStart w:id="1" w:name="_Toc160524334"/>
      <w:r w:rsidRPr="00C068D2">
        <w:t>Rozsah a obsah projektu</w:t>
      </w:r>
      <w:bookmarkEnd w:id="1"/>
      <w:r w:rsidRPr="00C068D2">
        <w:t xml:space="preserve"> </w:t>
      </w:r>
    </w:p>
    <w:p w14:paraId="676CC289" w14:textId="1234F64C" w:rsidR="004F1C04" w:rsidRPr="00987739" w:rsidRDefault="00987739" w:rsidP="00987739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  <w:r w:rsidRPr="00987739">
        <w:rPr>
          <w:rFonts w:ascii="Calibri" w:eastAsiaTheme="minorHAnsi" w:hAnsi="Calibri" w:cs="Calibri"/>
          <w:b/>
          <w:bCs/>
          <w:szCs w:val="24"/>
          <w:lang w:eastAsia="en-US"/>
        </w:rPr>
        <w:tab/>
      </w:r>
    </w:p>
    <w:p w14:paraId="55602C4F" w14:textId="1CAFFDB1" w:rsidR="00E7501D" w:rsidRDefault="0049542D" w:rsidP="005F37A2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Tato </w:t>
      </w:r>
      <w:r w:rsidRPr="0049542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dokumentace </w:t>
      </w:r>
      <w:r w:rsidR="002B1C78" w:rsidRP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 společném stupni pro</w:t>
      </w:r>
      <w:r w:rsid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2B1C78" w:rsidRP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stavební řízení DSP + DPS </w:t>
      </w:r>
      <w:r w:rsid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řeší v</w:t>
      </w:r>
      <w:r w:rsidR="002B1C78" w:rsidRP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enkovní osvětlení areálu Silnice LK a.s., </w:t>
      </w:r>
      <w:r w:rsidR="0077789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Nová Ves nad Nisou, </w:t>
      </w:r>
      <w:r w:rsid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na </w:t>
      </w:r>
      <w:proofErr w:type="spellStart"/>
      <w:r w:rsidR="002B1C78" w:rsidRP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par.č</w:t>
      </w:r>
      <w:proofErr w:type="spellEnd"/>
      <w:r w:rsidR="002B1C78" w:rsidRPr="002B1C7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1580/3, 1585, 1590/4, 1590/6, 1596/1 a 1598/2</w:t>
      </w:r>
      <w:r w:rsidR="0077789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27295D15" w14:textId="77777777" w:rsidR="00292EDC" w:rsidRDefault="00292EDC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590BAC6" w14:textId="77777777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Stavba je vyvolaná požadavkem stavebníka. Elektrická zařízení budou instalována dle požadavků</w:t>
      </w:r>
    </w:p>
    <w:p w14:paraId="7C5A233B" w14:textId="77777777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zadání a navržené řešení vychází z dostupných podkladů a informací v době zpracování projektu.</w:t>
      </w:r>
    </w:p>
    <w:p w14:paraId="78E4B4E9" w14:textId="77777777" w:rsidR="00292EDC" w:rsidRDefault="00292EDC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FF2B7DF" w14:textId="77777777" w:rsidR="00777894" w:rsidRPr="00777894" w:rsidRDefault="00777894" w:rsidP="0077789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7789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Tato dokumentace je zpracována ve stupni pro provádění stavby ve smyslu § 134 odst. 7 zákona</w:t>
      </w:r>
    </w:p>
    <w:p w14:paraId="2E9BE539" w14:textId="4C2F6510" w:rsidR="00E4371E" w:rsidRDefault="00777894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7789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č. 183/2006 Sb., o územním plánování a stavebním řádu, ve znění pozdějších předpisů. Dle společných zásad v úvodu přílohy č. 13 vyhlášky č. 499/2006 Sb., o dokumentaci staveb, ve znění pozdějších předpisů, se dokumentace pro provádění stavby zpracovává v podrobnostech umožňujících vypracovat soupis stavebních prací, dodávek a služeb s výkazem výměr.</w:t>
      </w:r>
    </w:p>
    <w:p w14:paraId="365ECACD" w14:textId="77777777" w:rsidR="002C7F2E" w:rsidRPr="002C7F2E" w:rsidRDefault="002C7F2E" w:rsidP="002C7F2E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D2DDDC2" w14:textId="3FE8184D" w:rsidR="00327871" w:rsidRPr="00831B34" w:rsidRDefault="00327871" w:rsidP="00831B34">
      <w:pPr>
        <w:pStyle w:val="Nadpis2"/>
      </w:pPr>
      <w:bookmarkStart w:id="2" w:name="_Toc160524335"/>
      <w:r w:rsidRPr="00831B34">
        <w:t>Výchozí podklady a požadavky na profesi</w:t>
      </w:r>
      <w:bookmarkEnd w:id="2"/>
      <w:r w:rsidRPr="00831B34">
        <w:t xml:space="preserve"> </w:t>
      </w:r>
    </w:p>
    <w:p w14:paraId="3C7A8434" w14:textId="63A15934" w:rsidR="004F1C04" w:rsidRPr="00327871" w:rsidRDefault="00327871" w:rsidP="00327871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  <w:r w:rsidRPr="00327871">
        <w:rPr>
          <w:rFonts w:ascii="Calibri" w:eastAsiaTheme="minorHAnsi" w:hAnsi="Calibri" w:cs="Calibri"/>
          <w:b/>
          <w:bCs/>
          <w:szCs w:val="24"/>
          <w:lang w:eastAsia="en-US"/>
        </w:rPr>
        <w:tab/>
      </w:r>
    </w:p>
    <w:p w14:paraId="687F4EA5" w14:textId="6FBB30F0" w:rsidR="00E7501D" w:rsidRPr="00327871" w:rsidRDefault="00E7501D" w:rsidP="00831B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327871">
        <w:rPr>
          <w:rFonts w:ascii="Calibri" w:eastAsiaTheme="minorHAnsi" w:hAnsi="Calibri" w:cs="Calibri"/>
          <w:sz w:val="22"/>
          <w:szCs w:val="22"/>
          <w:lang w:eastAsia="en-US"/>
        </w:rPr>
        <w:t>zadání a požadavky objednatele</w:t>
      </w:r>
    </w:p>
    <w:p w14:paraId="10F03042" w14:textId="61672339" w:rsidR="00E7501D" w:rsidRPr="00327871" w:rsidRDefault="00E7501D" w:rsidP="00831B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327871">
        <w:rPr>
          <w:rFonts w:ascii="Calibri" w:eastAsiaTheme="minorHAnsi" w:hAnsi="Calibri" w:cs="Calibri"/>
          <w:sz w:val="22"/>
          <w:szCs w:val="22"/>
          <w:lang w:eastAsia="en-US"/>
        </w:rPr>
        <w:t>požadavky na napájení</w:t>
      </w:r>
    </w:p>
    <w:p w14:paraId="071B6DAC" w14:textId="55C151ED" w:rsidR="002B1A79" w:rsidRDefault="002B1A79" w:rsidP="00555FB8">
      <w:pPr>
        <w:pStyle w:val="Odstavecseseznamem"/>
        <w:numPr>
          <w:ilvl w:val="0"/>
          <w:numId w:val="3"/>
        </w:num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m</w:t>
      </w:r>
      <w:r w:rsidRPr="002B1A79">
        <w:rPr>
          <w:rFonts w:ascii="Calibri" w:eastAsiaTheme="minorHAnsi" w:hAnsi="Calibri" w:cs="Calibri"/>
          <w:sz w:val="22"/>
          <w:szCs w:val="22"/>
          <w:lang w:eastAsia="en-US"/>
        </w:rPr>
        <w:t>ístní šetření</w:t>
      </w:r>
    </w:p>
    <w:p w14:paraId="66A3CB86" w14:textId="2FC3D6FD" w:rsidR="00555FB8" w:rsidRPr="00555FB8" w:rsidRDefault="00555FB8" w:rsidP="00555FB8">
      <w:pPr>
        <w:pStyle w:val="Odstavecseseznamem"/>
        <w:numPr>
          <w:ilvl w:val="0"/>
          <w:numId w:val="3"/>
        </w:numPr>
        <w:rPr>
          <w:rFonts w:ascii="Calibri" w:eastAsiaTheme="minorHAnsi" w:hAnsi="Calibri" w:cs="Calibri"/>
          <w:sz w:val="22"/>
          <w:szCs w:val="22"/>
          <w:lang w:eastAsia="en-US"/>
        </w:rPr>
      </w:pPr>
      <w:r w:rsidRPr="00555FB8">
        <w:rPr>
          <w:rFonts w:ascii="Calibri" w:eastAsiaTheme="minorHAnsi" w:hAnsi="Calibri" w:cs="Calibri"/>
          <w:sz w:val="22"/>
          <w:szCs w:val="22"/>
          <w:lang w:eastAsia="en-US"/>
        </w:rPr>
        <w:t xml:space="preserve">mapové podklady Seznam.cz, a.s., Google Street </w:t>
      </w:r>
      <w:proofErr w:type="spellStart"/>
      <w:r w:rsidRPr="00555FB8">
        <w:rPr>
          <w:rFonts w:ascii="Calibri" w:eastAsiaTheme="minorHAnsi" w:hAnsi="Calibri" w:cs="Calibri"/>
          <w:sz w:val="22"/>
          <w:szCs w:val="22"/>
          <w:lang w:eastAsia="en-US"/>
        </w:rPr>
        <w:t>View</w:t>
      </w:r>
      <w:proofErr w:type="spellEnd"/>
      <w:r w:rsidRPr="00555FB8">
        <w:rPr>
          <w:rFonts w:ascii="Calibri" w:eastAsiaTheme="minorHAnsi" w:hAnsi="Calibri" w:cs="Calibri"/>
          <w:sz w:val="22"/>
          <w:szCs w:val="22"/>
          <w:lang w:eastAsia="en-US"/>
        </w:rPr>
        <w:t xml:space="preserve"> a nahlizenidokn.cuzk.cz</w:t>
      </w:r>
    </w:p>
    <w:p w14:paraId="60F2489F" w14:textId="4DDE7E61" w:rsidR="00E7501D" w:rsidRPr="00327871" w:rsidRDefault="00E7501D" w:rsidP="00831B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327871">
        <w:rPr>
          <w:rFonts w:ascii="Calibri" w:eastAsiaTheme="minorHAnsi" w:hAnsi="Calibri" w:cs="Calibri"/>
          <w:sz w:val="22"/>
          <w:szCs w:val="22"/>
          <w:lang w:eastAsia="en-US"/>
        </w:rPr>
        <w:t>legislativní předpisy, technické normy a katalogy, platné v době zpracování projektu</w:t>
      </w:r>
    </w:p>
    <w:p w14:paraId="320CED1D" w14:textId="77777777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89A2497" w14:textId="7AFADBAB" w:rsidR="004F1C04" w:rsidRPr="00831B34" w:rsidRDefault="00327871" w:rsidP="00831B34">
      <w:pPr>
        <w:pStyle w:val="Nadpis2"/>
      </w:pPr>
      <w:bookmarkStart w:id="3" w:name="_Toc160524336"/>
      <w:r w:rsidRPr="00831B34">
        <w:t>Seznam používaných zkratek</w:t>
      </w:r>
      <w:bookmarkEnd w:id="3"/>
    </w:p>
    <w:p w14:paraId="1BC8A1FB" w14:textId="77777777" w:rsidR="00327871" w:rsidRPr="00327871" w:rsidRDefault="00327871" w:rsidP="00327871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04FED41E" w14:textId="0ADCC7EA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AC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střídavý proud; viz definice ČSN 33 0010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4.3.2</w:t>
      </w:r>
    </w:p>
    <w:p w14:paraId="16373ADC" w14:textId="75BCB723" w:rsidR="008160EB" w:rsidRDefault="008160EB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AFDD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přístroj pro detekci poruchového oblouku; viz definice ČSN EN 62606, čl. 3.3</w:t>
      </w:r>
    </w:p>
    <w:p w14:paraId="6F5FE310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DALI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Digital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Addressable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Lighting Interface</w:t>
      </w:r>
    </w:p>
    <w:p w14:paraId="34314C44" w14:textId="77777777" w:rsid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EEMS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systém managementu hospodaření s elektrickou energií; viz definice ČSN 33 2000-8-2,</w:t>
      </w:r>
    </w:p>
    <w:p w14:paraId="6247AD5C" w14:textId="77777777" w:rsidR="008160EB" w:rsidRDefault="008160EB" w:rsidP="008160EB">
      <w:pPr>
        <w:autoSpaceDE w:val="0"/>
        <w:autoSpaceDN w:val="0"/>
        <w:adjustRightInd w:val="0"/>
        <w:ind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čl. 3.9</w:t>
      </w:r>
    </w:p>
    <w:p w14:paraId="1876824E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HDO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hromadné dálkové ovládání distributora elektrické energie</w:t>
      </w:r>
    </w:p>
    <w:p w14:paraId="6D3F58D8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LPS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systém ochrany před bleskem; viz definice ČSN EN 62305-1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3.42</w:t>
      </w:r>
    </w:p>
    <w:p w14:paraId="324054E0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LPZ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zóna ochrany před bleskem; viz definice ČSN EN 62305-1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3.36</w:t>
      </w:r>
    </w:p>
    <w:p w14:paraId="6904D955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MaR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měření a regulace, viz příslušná část projektové dokumentace</w:t>
      </w:r>
    </w:p>
    <w:p w14:paraId="7A12886A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MET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hlavní ochranná přípojnice; viz definice ČSN 33 2000-5-54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3, čl. 541.3.9</w:t>
      </w:r>
    </w:p>
    <w:p w14:paraId="340831FC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nn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nízké napětí (sítě o jmenovitém napětí mezi vodiči od 50 V do 1000 V AC);</w:t>
      </w:r>
    </w:p>
    <w:p w14:paraId="3972648B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viz definice ČSN 33 0010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Tabulka 1</w:t>
      </w:r>
    </w:p>
    <w:p w14:paraId="506C3F9C" w14:textId="77777777" w:rsidR="008160EB" w:rsidRP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PBZ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požárně bezpečnostní zařízení; viz definice § 2 odst. 4 vyhlášky č. 246/2001 Sb., o stanovení podmínek požární bezpečnosti a výkonu státního požárního dozoru (vyhláška o požární prevenci), ve znění pozdějších předpisů</w:t>
      </w:r>
    </w:p>
    <w:p w14:paraId="63D12DD8" w14:textId="77777777" w:rsid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RCD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proudový chránič; viz definice ČSN 33 2000-5-53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3, čl. 530.3.19</w:t>
      </w:r>
    </w:p>
    <w:p w14:paraId="3823142C" w14:textId="77777777" w:rsid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SEK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síť elektronických komunikací; viz definice § 2 písm. h) zákona č. 127/2005 Sb.,</w:t>
      </w:r>
    </w:p>
    <w:p w14:paraId="34C9BCA5" w14:textId="77777777" w:rsidR="008160EB" w:rsidRDefault="008160EB" w:rsidP="008160EB">
      <w:pPr>
        <w:autoSpaceDE w:val="0"/>
        <w:autoSpaceDN w:val="0"/>
        <w:adjustRightInd w:val="0"/>
        <w:ind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 elektronických komunikacích, ve znění pozdějších předpisů</w:t>
      </w:r>
    </w:p>
    <w:p w14:paraId="3A56C58E" w14:textId="77777777" w:rsid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SLP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zařízení slaboproudu, viz příslušná část projektové dokumentace</w:t>
      </w:r>
    </w:p>
    <w:p w14:paraId="6AD8A011" w14:textId="77777777" w:rsidR="008160EB" w:rsidRDefault="008160E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SPD</w:t>
      </w: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přepěťové ochranné zařízení; viz definice ČSN EN 61643-11 </w:t>
      </w:r>
      <w:proofErr w:type="spellStart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3.1.1</w:t>
      </w:r>
    </w:p>
    <w:p w14:paraId="6598DD5B" w14:textId="77777777" w:rsidR="00ED5F37" w:rsidRDefault="00ED5F37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567BA18" w14:textId="77777777" w:rsidR="00ED5F37" w:rsidRDefault="00ED5F37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D4F82A6" w14:textId="77777777" w:rsidR="00374EB9" w:rsidRDefault="00374EB9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74B2FCA" w14:textId="77777777" w:rsidR="00374EB9" w:rsidRDefault="00374EB9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4FEE37F" w14:textId="77777777" w:rsidR="00374EB9" w:rsidRPr="008160EB" w:rsidRDefault="00374EB9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D22F9DE" w14:textId="77777777" w:rsidR="00A23A0B" w:rsidRDefault="00A23A0B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3F2BA1F" w14:textId="77777777" w:rsidR="002B1A79" w:rsidRDefault="002B1A79" w:rsidP="008160E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382F32D" w14:textId="77777777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14CA278A" w14:textId="5389B4A4" w:rsidR="0074482F" w:rsidRPr="00831B34" w:rsidRDefault="00327871" w:rsidP="00831B34">
      <w:pPr>
        <w:pStyle w:val="Nadpis1"/>
        <w:numPr>
          <w:ilvl w:val="0"/>
          <w:numId w:val="8"/>
        </w:numPr>
      </w:pPr>
      <w:bookmarkStart w:id="4" w:name="_Toc160524337"/>
      <w:r w:rsidRPr="00831B34">
        <w:t>VÝPIS POUŽITÝCH NOREM</w:t>
      </w:r>
      <w:bookmarkEnd w:id="4"/>
      <w:r w:rsidRPr="00831B34">
        <w:t xml:space="preserve"> </w:t>
      </w:r>
      <w:r w:rsidRPr="00831B34">
        <w:tab/>
      </w:r>
    </w:p>
    <w:p w14:paraId="59EF7C8B" w14:textId="77777777" w:rsidR="00327871" w:rsidRPr="00327871" w:rsidRDefault="00327871" w:rsidP="00327871">
      <w:pPr>
        <w:pStyle w:val="Odstavecseseznamem"/>
        <w:autoSpaceDE w:val="0"/>
        <w:autoSpaceDN w:val="0"/>
        <w:adjustRightInd w:val="0"/>
        <w:ind w:left="375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</w:p>
    <w:p w14:paraId="400083A9" w14:textId="3910D285" w:rsidR="00E7501D" w:rsidRDefault="008160EB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160E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Technické normy, které jsou na základě ustanovení § 6c odst. 2 zákona č. 22/1997 Sb., o technických požadavcích na výrobky, ve znění pozdějších předpisů, bezplatně zveřejněny ve sponzorovaném přístupu, jsou závazné</w:t>
      </w:r>
      <w:r w:rsidR="00E7501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:</w:t>
      </w:r>
    </w:p>
    <w:p w14:paraId="4DB77F41" w14:textId="77777777" w:rsidR="0074482F" w:rsidRDefault="0074482F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07266F7" w14:textId="640CBF7A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1310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>Bezpečnostní požadavky na elektrické instalace a spotřebiče určené k užívání osobami bez elektrotechnické kvalifikace (10.2009)</w:t>
      </w:r>
    </w:p>
    <w:p w14:paraId="45CD5B2B" w14:textId="71DDC648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50110-1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Obsluha a práce na elektrických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zařízeních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1: Obecné požadavky (5.2015)</w:t>
      </w:r>
    </w:p>
    <w:p w14:paraId="1F6BBE7F" w14:textId="0CB84477" w:rsidR="00E7501D" w:rsidRDefault="00E7501D" w:rsidP="00E7501D">
      <w:pPr>
        <w:autoSpaceDE w:val="0"/>
        <w:autoSpaceDN w:val="0"/>
        <w:adjustRightInd w:val="0"/>
        <w:ind w:left="2835" w:hanging="2835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2000-1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1: Základní hlediska, stanovení základních charakteristik, definice (5.2009)</w:t>
      </w:r>
    </w:p>
    <w:p w14:paraId="0377CEA7" w14:textId="14274C72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2000-4-41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4-41: Ochranná opatření pro</w:t>
      </w:r>
    </w:p>
    <w:p w14:paraId="71CB731E" w14:textId="25898AAB" w:rsidR="00E7501D" w:rsidRDefault="00E7501D" w:rsidP="00E7501D">
      <w:pPr>
        <w:autoSpaceDE w:val="0"/>
        <w:autoSpaceDN w:val="0"/>
        <w:adjustRightInd w:val="0"/>
        <w:ind w:left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zajištění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bezpečnosti - Ochrana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před úrazem elektrickým proudem (1.2018)</w:t>
      </w:r>
    </w:p>
    <w:p w14:paraId="5F71ED3A" w14:textId="1C279DB8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2000-4-43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4-43: Bezpečnost - Ochrana před nadproudy (12.2010)</w:t>
      </w:r>
    </w:p>
    <w:p w14:paraId="16B2DFBA" w14:textId="793E5390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2000-4-46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4-46: Bezpečnost – Odpojování a spínání (4.2017)</w:t>
      </w:r>
    </w:p>
    <w:p w14:paraId="40D1BA9C" w14:textId="6718C481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2000-5-51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5-51: Výběr a stavba elektrických zařízení - Všeobecné předpisy (4.2010)</w:t>
      </w:r>
    </w:p>
    <w:p w14:paraId="57C5FC10" w14:textId="3C37792E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2000-5-52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5-52: Výběr a stavba elektrických zařízení - Elektrická vedení (2.2012)</w:t>
      </w:r>
    </w:p>
    <w:p w14:paraId="501D8E16" w14:textId="3730BE44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2000-5-53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5-53: Výběr a stavba elektrických zařízení - Spínací a řídicí přístroje (6.2016)</w:t>
      </w:r>
    </w:p>
    <w:p w14:paraId="04ADCCA5" w14:textId="7028C5F1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2000-5-54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5-54: Výběr a stavba elektrických zařízení - Uzemnění a ochranné vodiče (4.2012)</w:t>
      </w:r>
    </w:p>
    <w:p w14:paraId="45729D79" w14:textId="537BDDD2" w:rsidR="00E7501D" w:rsidRDefault="00E7501D" w:rsidP="00E7501D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33 2000-</w:t>
      </w:r>
      <w:r w:rsidR="000A32E2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6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0A32E2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2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0A32E2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6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: </w:t>
      </w:r>
      <w:r w:rsidR="000A32E2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Revize (3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.201</w:t>
      </w:r>
      <w:r w:rsidR="000A32E2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7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</w:t>
      </w:r>
    </w:p>
    <w:p w14:paraId="79571D4A" w14:textId="61C6BD62" w:rsidR="00A23A0B" w:rsidRPr="00A23A0B" w:rsidRDefault="00A23A0B" w:rsidP="00A23A0B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33 2000-7-714 </w:t>
      </w:r>
      <w:proofErr w:type="spellStart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Elektrické instalace nízkého </w:t>
      </w:r>
      <w:proofErr w:type="gramStart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7-714: Zařízení</w:t>
      </w:r>
      <w:r w:rsidR="004E2B9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jednoúčelová a ve zvláštních objektech - Venkovní světelné instalace (12.2012)</w:t>
      </w:r>
    </w:p>
    <w:p w14:paraId="13922300" w14:textId="77777777" w:rsidR="00A23A0B" w:rsidRDefault="00A23A0B" w:rsidP="00A23A0B">
      <w:pPr>
        <w:pStyle w:val="1strnn-2-23"/>
        <w:spacing w:before="0" w:beforeAutospacing="0" w:after="0" w:afterAutospacing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0A32E2">
        <w:rPr>
          <w:rFonts w:ascii="Calibri" w:eastAsiaTheme="minorHAnsi" w:hAnsi="Calibri" w:cs="Calibri"/>
          <w:sz w:val="22"/>
          <w:szCs w:val="22"/>
          <w:lang w:eastAsia="en-US"/>
        </w:rPr>
        <w:t xml:space="preserve">ČSN 33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3320 ed.2</w:t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</w:r>
      <w:r w:rsidRPr="000A32E2">
        <w:rPr>
          <w:rFonts w:ascii="Calibri" w:eastAsiaTheme="minorHAnsi" w:hAnsi="Calibri" w:cs="Calibri"/>
          <w:sz w:val="22"/>
          <w:szCs w:val="22"/>
          <w:lang w:eastAsia="en-US"/>
        </w:rPr>
        <w:t>Elektrotechnické předpisy –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0A32E2">
        <w:rPr>
          <w:rFonts w:ascii="Calibri" w:eastAsiaTheme="minorHAnsi" w:hAnsi="Calibri" w:cs="Calibri"/>
          <w:sz w:val="22"/>
          <w:szCs w:val="22"/>
          <w:lang w:eastAsia="en-US"/>
        </w:rPr>
        <w:t>Elektrické přípojky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(8.2014)</w:t>
      </w:r>
    </w:p>
    <w:p w14:paraId="2643D6BF" w14:textId="2176C9BD" w:rsidR="00A23A0B" w:rsidRDefault="005575A0" w:rsidP="00A23A0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36 0459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Omezování nežádoucích účinků venkovního osvětlení (2.2023)</w:t>
      </w:r>
    </w:p>
    <w:p w14:paraId="6FA87B25" w14:textId="77777777" w:rsidR="004E2B98" w:rsidRDefault="005575A0" w:rsidP="005575A0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EN 12464-2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  <w:t xml:space="preserve">Světlo a </w:t>
      </w:r>
      <w:proofErr w:type="gram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osvětlení - Osvětlení</w:t>
      </w:r>
      <w:proofErr w:type="gram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pracovních prostorů - Část 2: Venkovní pracovní prostory (12.2014)</w:t>
      </w:r>
    </w:p>
    <w:p w14:paraId="2CED4784" w14:textId="37C6E09C" w:rsidR="00E7501D" w:rsidRDefault="00E7501D" w:rsidP="0074482F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50565-1 </w:t>
      </w:r>
      <w:r w:rsidR="0074482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Elektrické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kabely - Pokyny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pro používání kabelů se jmenovitým napětím</w:t>
      </w:r>
      <w:r w:rsidR="0074482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nepřekračujícím 450/750 V (U0/U) - Část 1: Obecné pokyny (2.2015)</w:t>
      </w:r>
    </w:p>
    <w:p w14:paraId="674ED9F9" w14:textId="6EA8BEA2" w:rsidR="00E7501D" w:rsidRDefault="00E7501D" w:rsidP="0074482F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61439-3 </w:t>
      </w:r>
      <w:r w:rsidR="0074482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Rozváděče nízkého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napětí - Část</w:t>
      </w:r>
      <w:proofErr w:type="gram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3: Rozvodnice určené k provozování laiky</w:t>
      </w:r>
      <w:r w:rsidR="0074482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(DBO) (10.2012)</w:t>
      </w:r>
    </w:p>
    <w:p w14:paraId="748F5435" w14:textId="40905883" w:rsidR="005575A0" w:rsidRPr="005575A0" w:rsidRDefault="005575A0" w:rsidP="005575A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62305-1 </w:t>
      </w:r>
      <w:proofErr w:type="spell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Ochrana před </w:t>
      </w:r>
      <w:proofErr w:type="gram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bleskem - Část</w:t>
      </w:r>
      <w:proofErr w:type="gram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1: Obecné principy (9.2011)</w:t>
      </w:r>
    </w:p>
    <w:p w14:paraId="399E6BCB" w14:textId="7CA06005" w:rsidR="005575A0" w:rsidRPr="005575A0" w:rsidRDefault="005575A0" w:rsidP="005575A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62305-2 </w:t>
      </w:r>
      <w:proofErr w:type="spell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Ochrana před </w:t>
      </w:r>
      <w:proofErr w:type="gram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bleskem - Část</w:t>
      </w:r>
      <w:proofErr w:type="gram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2: Řízení rizika (2.2013)</w:t>
      </w:r>
    </w:p>
    <w:p w14:paraId="14F5281B" w14:textId="77777777" w:rsidR="005575A0" w:rsidRDefault="005575A0" w:rsidP="005575A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62305-3 </w:t>
      </w:r>
      <w:proofErr w:type="spell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Ochrana před </w:t>
      </w:r>
      <w:proofErr w:type="gram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bleskem - Část</w:t>
      </w:r>
      <w:proofErr w:type="gram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3: Hmotné škody na stavbách a </w:t>
      </w:r>
    </w:p>
    <w:p w14:paraId="0D9A0C03" w14:textId="58DC42A2" w:rsidR="005575A0" w:rsidRPr="005575A0" w:rsidRDefault="005575A0" w:rsidP="005575A0">
      <w:pPr>
        <w:autoSpaceDE w:val="0"/>
        <w:autoSpaceDN w:val="0"/>
        <w:adjustRightInd w:val="0"/>
        <w:ind w:left="2124"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ohrožení života (1.2012)</w:t>
      </w:r>
    </w:p>
    <w:p w14:paraId="56101D5A" w14:textId="77777777" w:rsidR="005575A0" w:rsidRDefault="005575A0" w:rsidP="005575A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ČSN EN 62305-4 </w:t>
      </w:r>
      <w:proofErr w:type="spell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</w:t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Ochrana před </w:t>
      </w:r>
      <w:proofErr w:type="gramStart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bleskem - Část</w:t>
      </w:r>
      <w:proofErr w:type="gramEnd"/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4: Elektrické a elektronické systémy ve </w:t>
      </w:r>
    </w:p>
    <w:p w14:paraId="01111210" w14:textId="39463947" w:rsidR="005575A0" w:rsidRDefault="005575A0" w:rsidP="005575A0">
      <w:pPr>
        <w:autoSpaceDE w:val="0"/>
        <w:autoSpaceDN w:val="0"/>
        <w:adjustRightInd w:val="0"/>
        <w:ind w:left="2124"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575A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stavbách (9.2011)</w:t>
      </w:r>
    </w:p>
    <w:p w14:paraId="4340B45C" w14:textId="62126544" w:rsidR="00A23A0B" w:rsidRDefault="00A23A0B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73 6005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Prostorové uspořádání sítí technického vybavení (10.2020)</w:t>
      </w:r>
    </w:p>
    <w:p w14:paraId="54EA55C7" w14:textId="01842720" w:rsidR="004E2B98" w:rsidRDefault="004E2B98" w:rsidP="004E2B98">
      <w:pPr>
        <w:autoSpaceDE w:val="0"/>
        <w:autoSpaceDN w:val="0"/>
        <w:adjustRightInd w:val="0"/>
        <w:ind w:left="2832" w:hanging="2832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73 600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6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4E2B9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Výstražné fólie k identifikaci podzemních vedení technického vybavení 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(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8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.202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3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</w:t>
      </w:r>
    </w:p>
    <w:p w14:paraId="10CAB3E4" w14:textId="784C58D6" w:rsidR="004E2B98" w:rsidRDefault="004E2B98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73 6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110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="001209C1" w:rsidRPr="001209C1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Projektování místních komunikací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(1.20</w:t>
      </w:r>
      <w:r w:rsidR="001209C1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06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</w:t>
      </w:r>
    </w:p>
    <w:p w14:paraId="20ECAE30" w14:textId="77777777" w:rsidR="00A23A0B" w:rsidRDefault="00A23A0B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ČSN 83 9061</w:t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Technologie vegetačních úprav v </w:t>
      </w:r>
      <w:proofErr w:type="gramStart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krajině - Ochrana</w:t>
      </w:r>
      <w:proofErr w:type="gramEnd"/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stromů, porostů a </w:t>
      </w:r>
    </w:p>
    <w:p w14:paraId="57D05A94" w14:textId="1D42A625" w:rsidR="00A23A0B" w:rsidRDefault="00A23A0B" w:rsidP="00A23A0B">
      <w:pPr>
        <w:autoSpaceDE w:val="0"/>
        <w:autoSpaceDN w:val="0"/>
        <w:adjustRightInd w:val="0"/>
        <w:ind w:left="2124"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23A0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vegetačních ploch při stavebních pracích (2.2006)</w:t>
      </w:r>
    </w:p>
    <w:p w14:paraId="2CB2608F" w14:textId="77777777" w:rsidR="0074482F" w:rsidRDefault="0074482F" w:rsidP="0074482F">
      <w:pPr>
        <w:autoSpaceDE w:val="0"/>
        <w:autoSpaceDN w:val="0"/>
        <w:adjustRightInd w:val="0"/>
        <w:ind w:left="2124" w:firstLine="708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6DF47BA" w14:textId="77777777" w:rsidR="00E7501D" w:rsidRDefault="00E7501D" w:rsidP="00E7501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FA0D569" w14:textId="4F2363F2" w:rsidR="0074482F" w:rsidRDefault="0042044D" w:rsidP="00831B34">
      <w:pPr>
        <w:pStyle w:val="Nadpis1"/>
        <w:numPr>
          <w:ilvl w:val="0"/>
          <w:numId w:val="8"/>
        </w:numPr>
        <w:rPr>
          <w:rFonts w:cs="Calibri"/>
          <w:b w:val="0"/>
          <w:bCs/>
          <w:szCs w:val="28"/>
        </w:rPr>
      </w:pPr>
      <w:bookmarkStart w:id="5" w:name="_Toc160524338"/>
      <w:r>
        <w:t>TECHNICKÉ</w:t>
      </w:r>
      <w:r w:rsidR="00327871" w:rsidRPr="00831B34">
        <w:t xml:space="preserve"> ÚDAJE</w:t>
      </w:r>
      <w:bookmarkEnd w:id="5"/>
      <w:r w:rsidR="00327871" w:rsidRPr="00327871">
        <w:rPr>
          <w:rFonts w:cs="Calibri"/>
          <w:bCs/>
          <w:szCs w:val="28"/>
        </w:rPr>
        <w:t xml:space="preserve"> </w:t>
      </w:r>
      <w:r w:rsidR="00327871" w:rsidRPr="00327871">
        <w:rPr>
          <w:rFonts w:cs="Calibri"/>
          <w:bCs/>
          <w:szCs w:val="28"/>
        </w:rPr>
        <w:tab/>
      </w:r>
      <w:r w:rsidR="00327871" w:rsidRPr="00327871">
        <w:rPr>
          <w:rFonts w:cs="Calibri"/>
          <w:bCs/>
          <w:szCs w:val="28"/>
        </w:rPr>
        <w:tab/>
      </w:r>
    </w:p>
    <w:p w14:paraId="61EC5896" w14:textId="77777777" w:rsidR="00327871" w:rsidRPr="0074482F" w:rsidRDefault="00327871" w:rsidP="00327871">
      <w:pPr>
        <w:pStyle w:val="Odstavecseseznamem"/>
        <w:autoSpaceDE w:val="0"/>
        <w:autoSpaceDN w:val="0"/>
        <w:adjustRightInd w:val="0"/>
        <w:ind w:left="375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</w:p>
    <w:p w14:paraId="434A220C" w14:textId="413455E0" w:rsidR="00327871" w:rsidRDefault="00327871" w:rsidP="00CC698D">
      <w:pPr>
        <w:pStyle w:val="Nadpis2"/>
        <w:numPr>
          <w:ilvl w:val="1"/>
          <w:numId w:val="8"/>
        </w:numPr>
        <w:autoSpaceDE w:val="0"/>
        <w:autoSpaceDN w:val="0"/>
        <w:adjustRightInd w:val="0"/>
      </w:pPr>
      <w:bookmarkStart w:id="6" w:name="_Toc160524339"/>
      <w:r w:rsidRPr="00831B34">
        <w:t>Napěťové soustavy</w:t>
      </w:r>
      <w:bookmarkEnd w:id="6"/>
    </w:p>
    <w:p w14:paraId="1CAEE28C" w14:textId="77777777" w:rsidR="00C26F64" w:rsidRPr="00C26F64" w:rsidRDefault="00C26F64" w:rsidP="00C26F64">
      <w:pPr>
        <w:rPr>
          <w:rFonts w:eastAsiaTheme="minorHAnsi"/>
          <w:lang w:eastAsia="en-US"/>
        </w:rPr>
      </w:pPr>
    </w:p>
    <w:p w14:paraId="579A1486" w14:textId="422D7268" w:rsidR="0074482F" w:rsidRDefault="0074482F" w:rsidP="004F1C0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3/PEN AC 400/230 V 50 Hz / TN-C </w:t>
      </w:r>
      <w:r w:rsidR="001A5EB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="001329C5" w:rsidRPr="001329C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kabelové rozvody VO</w:t>
      </w:r>
    </w:p>
    <w:p w14:paraId="4D122E66" w14:textId="411E868C" w:rsidR="0074482F" w:rsidRDefault="001329C5" w:rsidP="004F1C0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</w:t>
      </w:r>
      <w:r w:rsidR="0074482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/N/PE AC 230 V 50 Hz / TN-C-S </w:t>
      </w:r>
      <w:r w:rsidR="001A5EB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ab/>
      </w:r>
      <w:r w:rsidRPr="001329C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koncové připojení svítidel</w:t>
      </w:r>
    </w:p>
    <w:p w14:paraId="0D22D8F4" w14:textId="77777777" w:rsidR="0042044D" w:rsidRDefault="0042044D" w:rsidP="004F1C0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D2FAFC2" w14:textId="249D6E3B" w:rsidR="0042044D" w:rsidRPr="00831B34" w:rsidRDefault="0042044D" w:rsidP="0042044D">
      <w:pPr>
        <w:pStyle w:val="Nadpis2"/>
        <w:numPr>
          <w:ilvl w:val="1"/>
          <w:numId w:val="8"/>
        </w:numPr>
      </w:pPr>
      <w:bookmarkStart w:id="7" w:name="_Toc160524340"/>
      <w:r>
        <w:t>Vnější vlivy</w:t>
      </w:r>
      <w:bookmarkEnd w:id="7"/>
    </w:p>
    <w:p w14:paraId="7D22053B" w14:textId="77777777" w:rsidR="0042044D" w:rsidRDefault="0042044D" w:rsidP="004F1C0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4ECEE1D" w14:textId="4CBD372A" w:rsidR="000A285D" w:rsidRDefault="0042044D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42044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AA3 a AA4, AB3 a AB4, AC1, AD3, AE3, AF</w:t>
      </w:r>
      <w:proofErr w:type="gramStart"/>
      <w:r w:rsidRPr="0042044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1 ,</w:t>
      </w:r>
      <w:proofErr w:type="gramEnd"/>
      <w:r w:rsidRPr="0042044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AG1, AH1, AK1, AL1, AN2, AP1, AQ2,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42044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AR1, AS2, BA1, BC3, BD1, BE1, AT2, AU1.</w:t>
      </w:r>
    </w:p>
    <w:p w14:paraId="56735985" w14:textId="77777777" w:rsidR="0042044D" w:rsidRDefault="0042044D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493898A" w14:textId="245013BE" w:rsidR="0042044D" w:rsidRPr="00831B34" w:rsidRDefault="0042044D" w:rsidP="0042044D">
      <w:pPr>
        <w:pStyle w:val="Nadpis2"/>
        <w:numPr>
          <w:ilvl w:val="1"/>
          <w:numId w:val="8"/>
        </w:numPr>
      </w:pPr>
      <w:bookmarkStart w:id="8" w:name="_Toc160524341"/>
      <w:r>
        <w:t>Prostředí</w:t>
      </w:r>
      <w:bookmarkEnd w:id="8"/>
    </w:p>
    <w:p w14:paraId="4B102A94" w14:textId="77777777" w:rsidR="0042044D" w:rsidRDefault="0042044D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58F4695" w14:textId="6A7DA95E" w:rsidR="0042044D" w:rsidRDefault="0042044D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42044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nebezpečné, práce na zařízení max. při působení vnějšího vlivu AD1</w:t>
      </w:r>
    </w:p>
    <w:p w14:paraId="54F96716" w14:textId="77777777" w:rsidR="006A73AE" w:rsidRDefault="006A73AE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EE91A26" w14:textId="2E667F59" w:rsidR="006A73AE" w:rsidRPr="00831B34" w:rsidRDefault="006A73AE" w:rsidP="006A73AE">
      <w:pPr>
        <w:pStyle w:val="Nadpis2"/>
        <w:numPr>
          <w:ilvl w:val="1"/>
          <w:numId w:val="8"/>
        </w:numPr>
      </w:pPr>
      <w:bookmarkStart w:id="9" w:name="_Toc160524342"/>
      <w:r>
        <w:t>Krytí</w:t>
      </w:r>
      <w:bookmarkEnd w:id="9"/>
    </w:p>
    <w:p w14:paraId="6F9CE9C9" w14:textId="77777777" w:rsidR="006A73AE" w:rsidRDefault="006A73AE" w:rsidP="006A73AE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A2DECFB" w14:textId="0A7E1756" w:rsidR="006A73AE" w:rsidRDefault="00C26F64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C26F6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svítidla min. IP65, stožárová svorkovnice min. IP</w:t>
      </w:r>
      <w:proofErr w:type="gramStart"/>
      <w:r w:rsidRPr="00C26F6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43( zavřená</w:t>
      </w:r>
      <w:proofErr w:type="gramEnd"/>
      <w:r w:rsidRPr="00C26F6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dvířka), svorkovnice IP2X</w:t>
      </w:r>
    </w:p>
    <w:p w14:paraId="0B69F20A" w14:textId="77777777" w:rsidR="006A73AE" w:rsidRDefault="006A73AE" w:rsidP="0042044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0115918" w14:textId="0A8F7EC8" w:rsidR="000A285D" w:rsidRPr="006579AE" w:rsidRDefault="006579AE" w:rsidP="006579AE">
      <w:pPr>
        <w:pStyle w:val="Odstavecseseznamem"/>
        <w:numPr>
          <w:ilvl w:val="1"/>
          <w:numId w:val="8"/>
        </w:numPr>
        <w:rPr>
          <w:rFonts w:ascii="Calibri" w:eastAsiaTheme="minorHAnsi" w:hAnsi="Calibri"/>
          <w:b/>
          <w:lang w:eastAsia="en-US"/>
        </w:rPr>
      </w:pPr>
      <w:r>
        <w:rPr>
          <w:rFonts w:ascii="Calibri" w:eastAsiaTheme="minorHAnsi" w:hAnsi="Calibri"/>
          <w:b/>
          <w:lang w:eastAsia="en-US"/>
        </w:rPr>
        <w:t>Stupeň dodávky el. energie</w:t>
      </w:r>
    </w:p>
    <w:p w14:paraId="4C76AE81" w14:textId="77777777" w:rsidR="000A285D" w:rsidRDefault="000A285D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80AF3C0" w14:textId="64726DD2" w:rsidR="000A285D" w:rsidRDefault="006579AE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579A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Zařízení běžné elektroinstalace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34 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1610 - </w:t>
      </w:r>
      <w:r w:rsidRPr="006579A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3</w:t>
      </w:r>
      <w:proofErr w:type="gramEnd"/>
      <w:r w:rsidRPr="006579A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stupeň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031E9615" w14:textId="77777777" w:rsidR="001A5EB6" w:rsidRDefault="001A5EB6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EACB36C" w14:textId="119A450D" w:rsidR="004F1C04" w:rsidRPr="00831B34" w:rsidRDefault="00327871" w:rsidP="00831B34">
      <w:pPr>
        <w:pStyle w:val="Nadpis2"/>
        <w:numPr>
          <w:ilvl w:val="1"/>
          <w:numId w:val="8"/>
        </w:numPr>
      </w:pPr>
      <w:bookmarkStart w:id="10" w:name="_Toc160524343"/>
      <w:r w:rsidRPr="00831B34">
        <w:t>Ochrana před úrazem elektrickým proudem</w:t>
      </w:r>
      <w:bookmarkEnd w:id="10"/>
    </w:p>
    <w:p w14:paraId="682C9698" w14:textId="77777777" w:rsidR="00327871" w:rsidRPr="004F1C04" w:rsidRDefault="00327871" w:rsidP="00327871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56BA017C" w14:textId="77A357ED" w:rsidR="00D45543" w:rsidRDefault="00D45543" w:rsidP="00D45543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D4554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Základní ochrana elektrických zařízení nízkého napětí je zajištěna základní izolací živých částí, přepážkami nebo kryty</w:t>
      </w:r>
      <w:r w:rsidR="00C26F6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Ochrana při poruše </w:t>
      </w:r>
      <w:r w:rsidRPr="00D4554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podmínek ČSN 33 2000-4-41 </w:t>
      </w:r>
      <w:proofErr w:type="spellStart"/>
      <w:r w:rsidRPr="00D4554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D4554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3, Příloha A.</w:t>
      </w:r>
    </w:p>
    <w:p w14:paraId="6E175B9C" w14:textId="77777777" w:rsidR="00C26F64" w:rsidRDefault="00C26F64" w:rsidP="00D45543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688A477" w14:textId="37EDA795" w:rsidR="00C26F64" w:rsidRPr="00831B34" w:rsidRDefault="009C5AC4" w:rsidP="00C26F64">
      <w:pPr>
        <w:pStyle w:val="Nadpis2"/>
        <w:numPr>
          <w:ilvl w:val="1"/>
          <w:numId w:val="8"/>
        </w:numPr>
      </w:pPr>
      <w:bookmarkStart w:id="11" w:name="_Toc160524344"/>
      <w:r w:rsidRPr="009C5AC4">
        <w:t>Hodnoty osvětlení komunikací</w:t>
      </w:r>
      <w:bookmarkEnd w:id="11"/>
    </w:p>
    <w:p w14:paraId="531A44F1" w14:textId="77777777" w:rsidR="00C26F64" w:rsidRPr="004F1C04" w:rsidRDefault="00C26F64" w:rsidP="00C26F64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22E9C97E" w14:textId="0CA2DAFB" w:rsidR="009C5AC4" w:rsidRDefault="009C5AC4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C5AC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Zatřídění dotčených komunikací a ploch dle tříd osvětlení dle ČSN CEN/TR13201-1. Požadavky se měří a počítají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9C5AC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souladu ČSN CEN/TR 13201-3 a ČSN P 36 0455, TPK 15.</w:t>
      </w:r>
    </w:p>
    <w:p w14:paraId="445DF990" w14:textId="77777777" w:rsidR="009C5AC4" w:rsidRPr="009C5AC4" w:rsidRDefault="009C5AC4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9F92838" w14:textId="7DE3A4BC" w:rsidR="00C26F64" w:rsidRDefault="009C5AC4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C5AC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Stupeň osvětlení dle CEN/TR 13201-1: (parametry tříd komunikací ze světelně technického výpočtu)</w:t>
      </w:r>
    </w:p>
    <w:p w14:paraId="6794ABB3" w14:textId="77777777" w:rsidR="009C5AC4" w:rsidRDefault="009C5AC4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9C5AC4" w14:paraId="6740B31E" w14:textId="77777777" w:rsidTr="009C5AC4">
        <w:tc>
          <w:tcPr>
            <w:tcW w:w="1812" w:type="dxa"/>
          </w:tcPr>
          <w:p w14:paraId="5C045CFB" w14:textId="77777777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14:paraId="2E6FE2B9" w14:textId="045AD380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Stupeň osvětlení</w:t>
            </w:r>
          </w:p>
        </w:tc>
        <w:tc>
          <w:tcPr>
            <w:tcW w:w="1812" w:type="dxa"/>
          </w:tcPr>
          <w:p w14:paraId="1559AF5F" w14:textId="77777777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14:paraId="2CA99306" w14:textId="71701A90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Vypočítáno</w:t>
            </w:r>
          </w:p>
        </w:tc>
        <w:tc>
          <w:tcPr>
            <w:tcW w:w="1812" w:type="dxa"/>
          </w:tcPr>
          <w:p w14:paraId="0CB0D618" w14:textId="77777777" w:rsidR="009C5AC4" w:rsidRP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Požadováno dle:</w:t>
            </w:r>
          </w:p>
          <w:p w14:paraId="007A19E9" w14:textId="77121CA0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CEN/TR 13201-1</w:t>
            </w:r>
          </w:p>
        </w:tc>
      </w:tr>
      <w:tr w:rsidR="009C5AC4" w14:paraId="7A32B77D" w14:textId="77777777" w:rsidTr="009C5AC4">
        <w:tc>
          <w:tcPr>
            <w:tcW w:w="1812" w:type="dxa"/>
            <w:vMerge w:val="restart"/>
          </w:tcPr>
          <w:p w14:paraId="38247DEF" w14:textId="57A6777F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Areál 5.1.2</w:t>
            </w:r>
          </w:p>
        </w:tc>
        <w:tc>
          <w:tcPr>
            <w:tcW w:w="1812" w:type="dxa"/>
            <w:vMerge w:val="restart"/>
          </w:tcPr>
          <w:p w14:paraId="6B001EAD" w14:textId="2D46A568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P</w:t>
            </w:r>
            <w:r w:rsidR="00DC2E3D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2" w:type="dxa"/>
          </w:tcPr>
          <w:p w14:paraId="7EA5BF6A" w14:textId="537E6C6E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Em [</w:t>
            </w:r>
            <w:proofErr w:type="spellStart"/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lx</w:t>
            </w:r>
            <w:proofErr w:type="spellEnd"/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812" w:type="dxa"/>
          </w:tcPr>
          <w:p w14:paraId="37AD4D5B" w14:textId="717CA1D0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812" w:type="dxa"/>
          </w:tcPr>
          <w:p w14:paraId="0E7D5BAD" w14:textId="1DA608C4" w:rsidR="009C5AC4" w:rsidRDefault="00DC2E3D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10-15</w:t>
            </w:r>
          </w:p>
        </w:tc>
      </w:tr>
      <w:tr w:rsidR="009C5AC4" w14:paraId="4B7145A5" w14:textId="77777777" w:rsidTr="009C5AC4">
        <w:tc>
          <w:tcPr>
            <w:tcW w:w="1812" w:type="dxa"/>
            <w:vMerge/>
          </w:tcPr>
          <w:p w14:paraId="4D0172CE" w14:textId="77777777" w:rsidR="009C5AC4" w:rsidRP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vMerge/>
          </w:tcPr>
          <w:p w14:paraId="4B9E2C91" w14:textId="77777777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14:paraId="0E208774" w14:textId="1C102F52" w:rsidR="009C5AC4" w:rsidRP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Emin [</w:t>
            </w:r>
            <w:proofErr w:type="spellStart"/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lx</w:t>
            </w:r>
            <w:proofErr w:type="spellEnd"/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812" w:type="dxa"/>
          </w:tcPr>
          <w:p w14:paraId="10F91947" w14:textId="477EAD45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8,91</w:t>
            </w:r>
          </w:p>
        </w:tc>
        <w:tc>
          <w:tcPr>
            <w:tcW w:w="1812" w:type="dxa"/>
          </w:tcPr>
          <w:p w14:paraId="3F4B6BBF" w14:textId="2F1D97C8" w:rsidR="009C5AC4" w:rsidRDefault="009C5AC4" w:rsidP="009C5AC4">
            <w:pPr>
              <w:autoSpaceDE w:val="0"/>
              <w:autoSpaceDN w:val="0"/>
              <w:adjustRightInd w:val="0"/>
              <w:jc w:val="left"/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</w:pPr>
            <w:r w:rsidRPr="009C5AC4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 xml:space="preserve"> ≥</w:t>
            </w:r>
            <w:r w:rsidR="00DC2E3D">
              <w:rPr>
                <w:rFonts w:ascii="Calibri" w:eastAsiaTheme="minorHAnsi" w:hAnsi="Calibri" w:cs="Calibri"/>
                <w:spacing w:val="0"/>
                <w:sz w:val="22"/>
                <w:szCs w:val="22"/>
                <w:lang w:eastAsia="en-US"/>
              </w:rPr>
              <w:t>2</w:t>
            </w:r>
          </w:p>
        </w:tc>
      </w:tr>
    </w:tbl>
    <w:p w14:paraId="0CE9D255" w14:textId="77777777" w:rsidR="009C5AC4" w:rsidRDefault="009C5AC4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FF4C1C2" w14:textId="77777777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Veškeré osazené světelné zdroje a předřadníky musí splňovat požadavky Nařízení EU č. 2019/2020, kterým se stanoví požadavky na ekodesign světelných zdrojů a samostatných předřadných přístrojů, ve znění pozdějších předpisů.</w:t>
      </w:r>
    </w:p>
    <w:p w14:paraId="029E1A64" w14:textId="77777777" w:rsidR="004841C1" w:rsidRPr="007372BE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BB9F8FB" w14:textId="77777777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ČSN CEN/TR 13201-1, čl. 7 jsou pro chodce a cyklisty, pro řidiče motorových vozidel pohybujících se nízkou rychlostí, a pro osvětlení krajnic, parkovacích pruhů a dalších dopravních prostorů, které leží odděleně nebo podél dopravní pozemní komunikace, určeny převážně třídy osvětlení P.</w:t>
      </w:r>
    </w:p>
    <w:p w14:paraId="2EAFF8A8" w14:textId="77777777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B09D8F7" w14:textId="166640D8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 pozemní komunikace s nízkou intenzitou motorové dopravy, pro prostory s převažujícím pohybem pěších, pro obchodní a společenská centra, parky apod., je dle ČSN P 36 0455, čl. 4.5.1 požadována teplota chromatičnosti světelných zdrojů nejvýše 3000 K.</w:t>
      </w:r>
    </w:p>
    <w:p w14:paraId="7F33FBDC" w14:textId="77777777" w:rsidR="00ED5F37" w:rsidRPr="007372BE" w:rsidRDefault="00ED5F37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3D54370" w14:textId="60F831E8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U pozemních komunikací, na kterých dochází k složitějším dopravním situacím, a kde smíšený provoz zahrnuje i cyklisty a/nebo chodce, je vhodný index podání barev světelných zdrojů </w:t>
      </w:r>
      <w:proofErr w:type="spellStart"/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Ra</w:t>
      </w:r>
      <w:proofErr w:type="spellEnd"/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≥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7</w:t>
      </w: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0.</w:t>
      </w:r>
    </w:p>
    <w:p w14:paraId="1788F303" w14:textId="77777777" w:rsidR="004841C1" w:rsidRPr="007372BE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BDF6CF6" w14:textId="33AC56B1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 případě spínání osvětlení pomocí spínacích hodin musí být doba provozu osvětlení stanovena v dané lokalitě časovým plánem na základě výsledků dlouhodobého sledování změn denní vodorovné osvětlenosti v průběhu roku. Ovládání VO bude plně automatické, spínané od </w:t>
      </w:r>
      <w:proofErr w:type="spellStart"/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astrohodin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45642662" w14:textId="77777777" w:rsidR="004841C1" w:rsidRPr="007372BE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7AE1C7A" w14:textId="7586A242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ČSN P 36 0455, čl. 4.3.3 má být osvětlení pozemních komunikací spínáno tak, aby v období spínání osvětlení hodnota průměrné osvětlenosti povrchu komunikace neklesla pod hodnotu odpovídající příslušné třídě osvětlení přiřazené dané komunikaci.</w:t>
      </w:r>
    </w:p>
    <w:p w14:paraId="6891964A" w14:textId="77777777" w:rsidR="004841C1" w:rsidRPr="007372BE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43F7E4F" w14:textId="3BF9367C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372B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Intenzita osvětlení venkovních pracovních prostor je navržena dle ČSN EN 12464-2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7FAC4C36" w14:textId="77777777" w:rsidR="004841C1" w:rsidRDefault="004841C1" w:rsidP="009C5AC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926223D" w14:textId="4654A40D" w:rsidR="00DC2E3D" w:rsidRPr="00831B34" w:rsidRDefault="00DC2E3D" w:rsidP="00DC2E3D">
      <w:pPr>
        <w:pStyle w:val="Nadpis2"/>
        <w:numPr>
          <w:ilvl w:val="1"/>
          <w:numId w:val="8"/>
        </w:numPr>
      </w:pPr>
      <w:bookmarkStart w:id="12" w:name="_Toc160524345"/>
      <w:r>
        <w:t>Uzemnění</w:t>
      </w:r>
      <w:bookmarkEnd w:id="12"/>
    </w:p>
    <w:p w14:paraId="66FC2D83" w14:textId="77777777" w:rsidR="00DC2E3D" w:rsidRPr="004F1C04" w:rsidRDefault="00DC2E3D" w:rsidP="00DC2E3D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5406B904" w14:textId="38CEE05C" w:rsidR="00DC2E3D" w:rsidRDefault="00DC2E3D" w:rsidP="009C5AC4">
      <w:pPr>
        <w:autoSpaceDE w:val="0"/>
        <w:autoSpaceDN w:val="0"/>
        <w:adjustRightInd w:val="0"/>
        <w:jc w:val="left"/>
      </w:pPr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zemnící pásek </w:t>
      </w:r>
      <w:proofErr w:type="gramStart"/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FeZn30x4 - u</w:t>
      </w:r>
      <w:proofErr w:type="gramEnd"/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ocelových stožárů do 2</w:t>
      </w:r>
      <w:r>
        <w:t>ohm</w:t>
      </w:r>
    </w:p>
    <w:p w14:paraId="3662F09A" w14:textId="77777777" w:rsidR="00DC2E3D" w:rsidRDefault="00DC2E3D" w:rsidP="009C5AC4">
      <w:pPr>
        <w:autoSpaceDE w:val="0"/>
        <w:autoSpaceDN w:val="0"/>
        <w:adjustRightInd w:val="0"/>
        <w:jc w:val="left"/>
      </w:pPr>
    </w:p>
    <w:p w14:paraId="334D926B" w14:textId="58360F0A" w:rsidR="00DC2E3D" w:rsidRPr="00831B34" w:rsidRDefault="00DC2E3D" w:rsidP="00DC2E3D">
      <w:pPr>
        <w:pStyle w:val="Nadpis2"/>
        <w:numPr>
          <w:ilvl w:val="1"/>
          <w:numId w:val="8"/>
        </w:numPr>
      </w:pPr>
      <w:bookmarkStart w:id="13" w:name="_Toc160524346"/>
      <w:r>
        <w:t>Druh vedení</w:t>
      </w:r>
      <w:bookmarkEnd w:id="13"/>
    </w:p>
    <w:p w14:paraId="41F6DC87" w14:textId="77777777" w:rsidR="00DC2E3D" w:rsidRPr="004F1C04" w:rsidRDefault="00DC2E3D" w:rsidP="00DC2E3D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4E7D17A3" w14:textId="4E59D594" w:rsidR="00DC2E3D" w:rsidRPr="00DC2E3D" w:rsidRDefault="00DC2E3D" w:rsidP="00DC2E3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- </w:t>
      </w:r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kabel CYKY 3Cx </w:t>
      </w:r>
      <w:r w:rsid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</w:t>
      </w:r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,5mm2 – vedení ve stožárcích ke svítidlům</w:t>
      </w:r>
    </w:p>
    <w:p w14:paraId="309B6546" w14:textId="73431176" w:rsidR="00287D1B" w:rsidRDefault="00DC2E3D" w:rsidP="00DC2E3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- zemní kabel </w:t>
      </w:r>
      <w:r w:rsid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</w:t>
      </w:r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YKY-J </w:t>
      </w:r>
      <w:proofErr w:type="gramStart"/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4x16mm2 - hlavní</w:t>
      </w:r>
      <w:proofErr w:type="gramEnd"/>
      <w:r w:rsidRPr="00DC2E3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kabelové rozvody VO</w:t>
      </w:r>
    </w:p>
    <w:p w14:paraId="791EEABA" w14:textId="77777777" w:rsidR="00D45543" w:rsidRDefault="00D45543" w:rsidP="00D45543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F50C009" w14:textId="68E747BF" w:rsidR="009620E8" w:rsidRDefault="00287D1B" w:rsidP="009620E8">
      <w:pPr>
        <w:pStyle w:val="Nadpis2"/>
        <w:numPr>
          <w:ilvl w:val="1"/>
          <w:numId w:val="8"/>
        </w:numPr>
        <w:autoSpaceDE w:val="0"/>
        <w:autoSpaceDN w:val="0"/>
        <w:adjustRightInd w:val="0"/>
      </w:pPr>
      <w:bookmarkStart w:id="14" w:name="_Toc160524347"/>
      <w:r w:rsidRPr="00287D1B">
        <w:t>Bilance spotřeby elektrické energie a instalovaný příkon</w:t>
      </w:r>
      <w:bookmarkEnd w:id="14"/>
    </w:p>
    <w:p w14:paraId="288AAB2E" w14:textId="77777777" w:rsidR="00287D1B" w:rsidRDefault="00287D1B" w:rsidP="00287D1B">
      <w:pPr>
        <w:rPr>
          <w:lang w:eastAsia="en-US"/>
        </w:rPr>
      </w:pPr>
    </w:p>
    <w:p w14:paraId="16FC38CE" w14:textId="62394DE4" w:rsidR="00287D1B" w:rsidRPr="00287D1B" w:rsidRDefault="00287D1B" w:rsidP="00287D1B">
      <w:pPr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Instalovaný příkon 1ks svítidla: </w:t>
      </w:r>
      <w:proofErr w:type="spellStart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Ps</w:t>
      </w:r>
      <w:proofErr w:type="spellEnd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=</w:t>
      </w:r>
      <w:proofErr w:type="gram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150</w:t>
      </w: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W</w:t>
      </w:r>
      <w:proofErr w:type="gramEnd"/>
    </w:p>
    <w:p w14:paraId="651BFFE4" w14:textId="67C27C24" w:rsidR="00287D1B" w:rsidRPr="00287D1B" w:rsidRDefault="00287D1B" w:rsidP="00287D1B">
      <w:pPr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Celkový instalovaný příkon: </w:t>
      </w:r>
      <w:proofErr w:type="spellStart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Pi</w:t>
      </w:r>
      <w:proofErr w:type="spellEnd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=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3</w:t>
      </w:r>
      <w:r w:rsidR="00E31CC1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</w:t>
      </w: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W</w:t>
      </w:r>
    </w:p>
    <w:p w14:paraId="2600C5AB" w14:textId="68A3397F" w:rsidR="00287D1B" w:rsidRPr="00287D1B" w:rsidRDefault="00287D1B" w:rsidP="00287D1B">
      <w:pPr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Roční spotřeba energie (Předpokládaná doba provozu ročně 4100h</w:t>
      </w:r>
      <w:proofErr w:type="gramStart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 :</w:t>
      </w:r>
      <w:proofErr w:type="gramEnd"/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W=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12</w:t>
      </w:r>
      <w:r w:rsidR="00E31CC1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,3M</w:t>
      </w:r>
      <w:r w:rsidRPr="00287D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Wh</w:t>
      </w:r>
    </w:p>
    <w:p w14:paraId="5808E66A" w14:textId="2CA3E98F" w:rsidR="004F1C04" w:rsidRDefault="00A44086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b/>
        </w:rPr>
        <w:t xml:space="preserve">   </w:t>
      </w:r>
    </w:p>
    <w:p w14:paraId="3802D07E" w14:textId="738DDEEA" w:rsidR="004F1C04" w:rsidRPr="00831B34" w:rsidRDefault="002F221D" w:rsidP="00831B34">
      <w:pPr>
        <w:pStyle w:val="Nadpis2"/>
        <w:numPr>
          <w:ilvl w:val="1"/>
          <w:numId w:val="8"/>
        </w:numPr>
      </w:pPr>
      <w:bookmarkStart w:id="15" w:name="_Toc160524348"/>
      <w:r>
        <w:t>Měření spotřeb</w:t>
      </w:r>
      <w:r w:rsidR="00002A39" w:rsidRPr="00831B34">
        <w:t xml:space="preserve"> elektrické energie</w:t>
      </w:r>
      <w:bookmarkEnd w:id="15"/>
    </w:p>
    <w:p w14:paraId="61E08400" w14:textId="77777777" w:rsidR="00002A39" w:rsidRPr="00002A39" w:rsidRDefault="00002A39" w:rsidP="00002A39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22D6E2A2" w14:textId="74A08829" w:rsidR="004E68DD" w:rsidRDefault="004E68DD" w:rsidP="006F411E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4E68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Fakturační měření není požadováno – elektroinstalace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VO </w:t>
      </w:r>
      <w:r w:rsidRPr="004E68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bude napojená ze stávající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ho rozvaděče admin. objektu</w:t>
      </w:r>
      <w:r w:rsidRPr="004E68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, to znamená, že se napojí za elektroměrem odběratele. Podružné měření spotřeby elektrické energie </w:t>
      </w:r>
      <w:r w:rsid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je řešeno v rozvaděči R_VO</w:t>
      </w:r>
      <w:r w:rsidRPr="004E68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37D75F5E" w14:textId="77777777" w:rsidR="00BF47C9" w:rsidRDefault="00BF47C9" w:rsidP="00D45543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97992D5" w14:textId="63A789B6" w:rsidR="004F1C04" w:rsidRPr="00831B34" w:rsidRDefault="00002A39" w:rsidP="00831B34">
      <w:pPr>
        <w:pStyle w:val="Nadpis2"/>
        <w:numPr>
          <w:ilvl w:val="1"/>
          <w:numId w:val="8"/>
        </w:numPr>
      </w:pPr>
      <w:bookmarkStart w:id="16" w:name="_Toc160524349"/>
      <w:r w:rsidRPr="00831B34">
        <w:t>Elektromagnetická kompatibilita</w:t>
      </w:r>
      <w:bookmarkEnd w:id="16"/>
    </w:p>
    <w:p w14:paraId="35DC68A6" w14:textId="77777777" w:rsidR="00002A39" w:rsidRPr="00002A39" w:rsidRDefault="00002A39" w:rsidP="00002A39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54C5C68B" w14:textId="1F4268ED" w:rsidR="00BF47C9" w:rsidRDefault="0074482F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</w:t>
      </w:r>
      <w:r w:rsidR="00BF47C9"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nařízení vlády č. 117/2016 Sb., o posuzování shody výrobků z hlediska elektromagnetické kompatibility při jejich dodávání na trh, ve znění pozdějších předpisů, Příloha č. 1, bod 2, musí být pevná instalace instalována s použitím pravidel správné praxe a s ohledem na údaje o určeném použití komponentů. Pravidla správné praxe musí být zdokumentována a dokumentaci musí provozovatel instalace nebo jím pověřená osoba po dobu provozování instalace uchovávat pro potřeby orgánů dozoru.</w:t>
      </w:r>
    </w:p>
    <w:p w14:paraId="4EE76EA0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25EB4E0" w14:textId="77777777" w:rsid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vyhlášky č. 268/2009 Sb., o technických požadavcích na stavby, ve znění pozdějších předpisů, § 34 odst. 2 písm. f), musí elektrický rozvod splňovat v souladu s normovými hodnotami požadavky na zamezení vzájemných nepříznivých vlivů a rušivých napětí při křižování a souběhu silnoproudých vedení a vedení elektronických komunikací.</w:t>
      </w:r>
    </w:p>
    <w:p w14:paraId="4FC1A68F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1440B33" w14:textId="77777777" w:rsidR="004841C1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2000-4-444, čl. 444.4.2 písm. d) by měly být silové a slaboproudé kabely vedeny zvlášť v souladu s požadavky a doporučeními ČSN EN 50174-2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3, čl. 6.2, popř. dle čl. 444.6.2 musí být </w:t>
      </w:r>
    </w:p>
    <w:p w14:paraId="4F49EFB0" w14:textId="77777777" w:rsidR="00ED5F37" w:rsidRDefault="00ED5F37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1602B79" w14:textId="77777777" w:rsidR="00ED5F37" w:rsidRDefault="00ED5F37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E309546" w14:textId="77777777" w:rsidR="004841C1" w:rsidRDefault="004841C1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613C853" w14:textId="77777777" w:rsidR="00CC5761" w:rsidRDefault="00CC5761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64DC699" w14:textId="0A6E8D54" w:rsid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oddělovací vzdušná vzdálenost mezi silovými a slaboproudými kabely nejméně 200 mm. Silové a slaboproudé kabely by se dále měly </w:t>
      </w:r>
      <w:proofErr w:type="gram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křížit</w:t>
      </w:r>
      <w:proofErr w:type="gram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pokud možno pouze v pravých úhlech.</w:t>
      </w:r>
    </w:p>
    <w:p w14:paraId="7E40B25C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0C8B187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ČSN 33 2000-4-444, čl. 444.4.2 písm. h) musí být veškeré kabely odděleny od jímací soustavy a od svodů systému ochrany před bleskem (LPS) buď minimální vzdáleností, nebo použitím stínění.</w:t>
      </w:r>
    </w:p>
    <w:p w14:paraId="1E4F48A2" w14:textId="77777777" w:rsid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2130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3, čl. 4.1.3 je třeba při vedení vnitřních rozvodů zajistit i vnitřní ochranu před bleskem v souladu s požadavky uvedenými v souboru ČSN EN 62305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2, a to především zamezením vzniku zbytečných smyček tvořených rozvody silovými a elektronických komunikací, neukládáním elektrického vedení v blízkosti svodů </w:t>
      </w:r>
      <w:proofErr w:type="gram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hromosvodu,</w:t>
      </w:r>
      <w:proofErr w:type="gram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atd.</w:t>
      </w:r>
    </w:p>
    <w:p w14:paraId="216CC18B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2A2385B" w14:textId="77777777" w:rsid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2130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3, Příloha C se v řešené instalaci přepokládá podíl proudů třetí harmonické a jejích lichých násobků minimálně v rozmezí 15 ÷ 33 %. </w:t>
      </w:r>
    </w:p>
    <w:p w14:paraId="7CBFE2C8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458DC2B" w14:textId="77777777" w:rsid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2000-5-52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2, čl. 524.2 je pravděpodobné, že řešené instalace budou obsahovat třetí a liché násobky třetí harmonické proudů, a celkové harmonické zkreslení bude nejméně 15 ÷ 33 %.  </w:t>
      </w:r>
    </w:p>
    <w:p w14:paraId="17135D1D" w14:textId="77777777" w:rsidR="00BF47C9" w:rsidRPr="00BF47C9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20AAA9E" w14:textId="478CAC09" w:rsidR="00C957D5" w:rsidRDefault="00BF47C9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2000-5-52 </w:t>
      </w:r>
      <w:proofErr w:type="spell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2, čl. 523.6.3 a čl. 524.2.3 nesmí být v takovém případě (tj. v případě, kdy je podíl třetí a lichých násobků třetí harmonické větší než 15 %) průřez nulových vodičů (a dle čl. 523.6.4 identicky i průřez PEN vodičů) </w:t>
      </w:r>
      <w:proofErr w:type="gramStart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menší,</w:t>
      </w:r>
      <w:proofErr w:type="gramEnd"/>
      <w:r w:rsidRPr="00BF47C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než průřez vodičů fázových. Je tedy nepřípustné používat redukované průřezy N či PEN vodičů.</w:t>
      </w:r>
    </w:p>
    <w:p w14:paraId="6B37AA8F" w14:textId="77777777" w:rsidR="00ED5F37" w:rsidRDefault="00ED5F37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1908D4B" w14:textId="77777777" w:rsidR="00C0081D" w:rsidRDefault="00C0081D" w:rsidP="00BF47C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A5CE8F9" w14:textId="116D0B72" w:rsidR="0074482F" w:rsidRPr="002A03C4" w:rsidRDefault="002A03C4" w:rsidP="00831B34">
      <w:pPr>
        <w:pStyle w:val="Nadpis1"/>
        <w:numPr>
          <w:ilvl w:val="0"/>
          <w:numId w:val="8"/>
        </w:numPr>
        <w:rPr>
          <w:rFonts w:cs="Calibri"/>
          <w:b w:val="0"/>
          <w:bCs/>
          <w:szCs w:val="28"/>
        </w:rPr>
      </w:pPr>
      <w:bookmarkStart w:id="17" w:name="_Toc160524350"/>
      <w:r w:rsidRPr="00831B34">
        <w:t>POPIS NAVRŽENÉHO ŘEŠENÍ</w:t>
      </w:r>
      <w:bookmarkEnd w:id="17"/>
      <w:r w:rsidRPr="00831B34">
        <w:t xml:space="preserve"> </w:t>
      </w:r>
      <w:r w:rsidRPr="00831B34">
        <w:tab/>
      </w:r>
    </w:p>
    <w:p w14:paraId="4C987DA2" w14:textId="77777777" w:rsidR="002A03C4" w:rsidRDefault="002A03C4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5A0E2F7" w14:textId="4DF11843" w:rsid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Tato technická zpráva je nedílnou součástí projektové dokumentace a doplňuje její výkresovou část.</w:t>
      </w:r>
    </w:p>
    <w:p w14:paraId="51F8083A" w14:textId="77777777" w:rsidR="00C957D5" w:rsidRPr="0091248F" w:rsidRDefault="00C957D5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82FF578" w14:textId="6789867E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Jelikož je v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o</w:t>
      </w: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blasti vyhrazených technických zařízení (viz kapitola „Zařazení zařízení do tříd a skupin“</w:t>
      </w:r>
    </w:p>
    <w:p w14:paraId="62E8F155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dále) zákonem vyžadována odborná způsobilost zhotovitele (viz kapitola „Podmínky pro realizaci díla</w:t>
      </w:r>
    </w:p>
    <w:p w14:paraId="1D7F23B8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 jeho uvedení do provozu“ dále), pak se od zhotovitele důvodně očekává, že je schopen jednat se</w:t>
      </w:r>
    </w:p>
    <w:p w14:paraId="318A1B84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znalostí a pečlivostí, a že tyto i uplatní. Z titulu zákonné povinnosti odborné péče se u zhotovitele</w:t>
      </w:r>
    </w:p>
    <w:p w14:paraId="1A4E7058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očekává znalost a splnění všech požadavků zde jmenovaných legislativních předpisů a technických</w:t>
      </w:r>
    </w:p>
    <w:p w14:paraId="4E38AE31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norem ČSN a ČSN EN, byť by v této dokumentaci jejich jednotlivé požadavky nebyly přímo vypsány.</w:t>
      </w:r>
    </w:p>
    <w:p w14:paraId="6F7F7FEA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nařízení vlády č. 101/2005 Sb., o podrobnějších požadavcích na pracoviště a pracovní prostředí,</w:t>
      </w:r>
    </w:p>
    <w:p w14:paraId="095B265A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Příloha, bod 2.1.5, musí být elektrické instalace provedeny a uloženy tak, aby byly přehledné.</w:t>
      </w:r>
    </w:p>
    <w:p w14:paraId="08DB055E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2000-1 </w:t>
      </w:r>
      <w:proofErr w:type="spellStart"/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134.1.1 musí být pro zřizování elektrických rozvodů a zařízení použito</w:t>
      </w:r>
    </w:p>
    <w:p w14:paraId="5569A33D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vhodných materiálů a práce musí být provedena odborně (dobré řemeslné úrovně), osobou</w:t>
      </w:r>
    </w:p>
    <w:p w14:paraId="50A84EEC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 odpovídající kvalifikací (viz kapitola „Podmínky pro realizaci díla a jeho uvedení do provozu“ dále);</w:t>
      </w:r>
    </w:p>
    <w:p w14:paraId="63E8A5EC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veškeré výrobky musí být vždy nainstalovány v souladu s pokyny poskytnutými jejich výrobcem.</w:t>
      </w:r>
    </w:p>
    <w:p w14:paraId="6F32480A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Společných zásad v úvodu Přílohy č. 13 vyhlášky č. 499/2006 Sb., o dokumentaci staveb, ve znění</w:t>
      </w:r>
    </w:p>
    <w:p w14:paraId="7702AAC1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pozdějších předpisů, není součástí projektové dokumentace pro provádění stavby dokumentace pro</w:t>
      </w:r>
    </w:p>
    <w:p w14:paraId="3C5DA985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pomocné práce a konstrukce, výrobně technická dokumentace, dokumentace výrobků dodaných na</w:t>
      </w:r>
    </w:p>
    <w:p w14:paraId="703D3372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stavbu, výkresy prefabrikátů a montážní dokumentace; pokud je nutno zpracovat některou z těchto</w:t>
      </w:r>
    </w:p>
    <w:p w14:paraId="76EB9E56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dokumentací, jde vždy o součást dodavatelské dokumentace.</w:t>
      </w:r>
    </w:p>
    <w:p w14:paraId="4826483F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Rozváděče legislativně spadají mezi výrobky. Součástí této projektové dokumentace pro provádění</w:t>
      </w:r>
    </w:p>
    <w:p w14:paraId="7FAE6E3A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stavby tudíž není detailní výkresová (výrobní) dokumentace rozváděčů, neboť v souladu s předchozím</w:t>
      </w:r>
    </w:p>
    <w:p w14:paraId="61C7A300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odstavcem jde o součást dodavatelské (realizační) dokumentace zhotovitele. Povinnost vypracovat</w:t>
      </w:r>
    </w:p>
    <w:p w14:paraId="42C521A0" w14:textId="77777777" w:rsid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detailní dokumentaci rozváděčů legislativně dopadá na výrobce rozváděčů, povinnost dodat schémata má zhotovitel v rámci dokumentů, povinně dodávaných se stavbou. V případě jakýchkoli nejasností či potřeby </w:t>
      </w:r>
      <w:proofErr w:type="spellStart"/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dopřesnění</w:t>
      </w:r>
      <w:proofErr w:type="spellEnd"/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detailů a podrobností, stejně jako v případech vyžadovaných souvisejícími legislativními předpisy, musí stavbyvedoucí zhotovitele ve smyslu jeho povinností dle    § 153 odst. 1 zákona č. 183/2006 Sb., o územním plánování a stavebním řádu, ve znění pozdějších předpisů zvážit, a v nezbytném rozsahu i iniciovat dopracování realizační dokumentace. Tato povinnost se vztahuje především na případy podmíněné stavebním vybavením zhotovitele, jím</w:t>
      </w:r>
    </w:p>
    <w:p w14:paraId="744DDF38" w14:textId="77777777" w:rsidR="004841C1" w:rsidRDefault="004841C1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FA7BCD0" w14:textId="7EBB58E2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používanými technologiemi, technologickými a pracovními postupy, konkrétními osazenými výrobky</w:t>
      </w:r>
    </w:p>
    <w:p w14:paraId="01032832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 požadavky jejich výrobců, odbornou úrovní pracovníků zhotovitele, organizací práce a skutečným</w:t>
      </w:r>
    </w:p>
    <w:p w14:paraId="7129B537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postupem prací. Součástí realizační dokumentace zhotovitele musí rovněž být i zohlednění všech</w:t>
      </w:r>
    </w:p>
    <w:p w14:paraId="681A01E1" w14:textId="77777777" w:rsidR="0091248F" w:rsidRPr="0091248F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nezbytných postupů a opatření, která mají sloužit k ochraně bezpečnosti a zdraví při práci na stavbě.</w:t>
      </w:r>
    </w:p>
    <w:p w14:paraId="3D9D7DBC" w14:textId="353C9CB4" w:rsidR="00C957D5" w:rsidRDefault="0091248F" w:rsidP="009124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124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rámci přípravy je zhotovitel povinen ověřit veškeré míry a počty, uváděné v dokumentaci. Použitý materiál a osazované výrobky musí splňovat požadavky souvisejících výrobkových norem. Součástí prací a dodávek dle této projektové dokumentace je i veškeré nezbytné nastavení dodaných zařízení, výrobků a kompletů, včetně jejich funkčního a komplexního odzkoušení a zprovoznění. Veškeré případné, avšak zásadně pouze předem odsouhlasené změny, je zhotovitel povinen zaznamenat v dokumentaci skutečného provedení.</w:t>
      </w:r>
    </w:p>
    <w:p w14:paraId="53D723B1" w14:textId="77777777" w:rsidR="00E61F98" w:rsidRDefault="00E61F98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DDCBD70" w14:textId="398E2E8C" w:rsidR="004F1C04" w:rsidRDefault="002A03C4" w:rsidP="00831B34">
      <w:pPr>
        <w:pStyle w:val="Nadpis2"/>
        <w:numPr>
          <w:ilvl w:val="1"/>
          <w:numId w:val="8"/>
        </w:numPr>
      </w:pPr>
      <w:bookmarkStart w:id="18" w:name="_Toc160524351"/>
      <w:r w:rsidRPr="002A03C4">
        <w:t>Způsob připojení na místní technickou infrastrukturu</w:t>
      </w:r>
      <w:bookmarkEnd w:id="18"/>
    </w:p>
    <w:p w14:paraId="199D6C82" w14:textId="77777777" w:rsidR="00E61F98" w:rsidRDefault="00E61F98" w:rsidP="00C320A2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C897C97" w14:textId="285DA86D" w:rsidR="006F411E" w:rsidRDefault="002936FF" w:rsidP="006F411E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Pro potřeby napojení do hladiny NN bude instalovaná nová smyčková skříň SS300, která nahradí stávající jistící skříň na fasádě objektu provozní budovy č.p.69 (před vstupem). </w:t>
      </w:r>
      <w:r w:rsidR="00C957D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Ze smyčkové skříně SS300 budou připojení stávající vývody se zachováním dimenze pojistek. Z třetí sady pojistek </w:t>
      </w:r>
      <w:proofErr w:type="gramStart"/>
      <w:r w:rsid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40</w:t>
      </w:r>
      <w:r w:rsid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</w:t>
      </w:r>
      <w:proofErr w:type="gramEnd"/>
      <w:r w:rsid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/</w:t>
      </w:r>
      <w:proofErr w:type="spellStart"/>
      <w:r w:rsid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gG</w:t>
      </w:r>
      <w:proofErr w:type="spellEnd"/>
      <w:r w:rsid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C957D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bude napojen nový rozvaděč R_VO. Ten bude </w:t>
      </w:r>
      <w:r w:rsidR="00C957D5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osazen na </w:t>
      </w:r>
      <w:r w:rsidR="0098754B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chodbě u</w:t>
      </w:r>
      <w:r w:rsidR="0098754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vstupu do objektu provozní budovy</w:t>
      </w:r>
      <w:r w:rsidR="00C957D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č.p.69</w:t>
      </w:r>
      <w:r w:rsidR="0098754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  <w:r w:rsidR="00C957D5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Přesnou pozici určí investor.</w:t>
      </w:r>
      <w:r w:rsidR="0098754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</w:p>
    <w:p w14:paraId="53B0753F" w14:textId="77777777" w:rsidR="003E05A3" w:rsidRPr="006F411E" w:rsidRDefault="003E05A3" w:rsidP="006F411E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805507B" w14:textId="793A27EF" w:rsidR="00C957D5" w:rsidRDefault="00AA588B" w:rsidP="00AA588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AA588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vyhlášky č. 268/2009 Sb., o technických požadavcích na stavby, ve znění pozdějších předpisů, § 6 odst. 6, je prostorové uspořádání sítí technického vybavení, jako souběh nebo křížení, stanoveno normovými hodnotami dle ČSN 73 6005.</w:t>
      </w:r>
    </w:p>
    <w:p w14:paraId="004B739E" w14:textId="77777777" w:rsidR="004841C1" w:rsidRDefault="004841C1" w:rsidP="00AA588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0302AAF" w14:textId="77777777" w:rsidR="004841C1" w:rsidRDefault="004841C1" w:rsidP="004841C1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4454A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nařízení vlády č. 101/2005 Sb., o podrobnějších požadavcích na pracoviště a pracovní prostředí, Příloha, bod 2.1.5, musí být průchody stěnami a konstrukcemi na pracovištích provedeny tak, aby nemohlo dojít k poškození instalace ani stavby. Vzdálenosti vodičů a kabelů navzájem, od částí staveb, od nosných a jiných konstrukcí, musí být voleny podle druhu izolace a způsobu jejich uložení.</w:t>
      </w:r>
    </w:p>
    <w:p w14:paraId="4B1C5EEC" w14:textId="77777777" w:rsidR="004841C1" w:rsidRDefault="004841C1" w:rsidP="00AA588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F3E425C" w14:textId="39408340" w:rsidR="00C957D5" w:rsidRDefault="005D068F" w:rsidP="00C957D5">
      <w:pPr>
        <w:pStyle w:val="Nadpis2"/>
        <w:numPr>
          <w:ilvl w:val="1"/>
          <w:numId w:val="8"/>
        </w:numPr>
      </w:pPr>
      <w:bookmarkStart w:id="19" w:name="_Toc160524352"/>
      <w:r>
        <w:t>Rozvad</w:t>
      </w:r>
      <w:r w:rsidR="00EA7C37">
        <w:t>ě</w:t>
      </w:r>
      <w:r>
        <w:t>č</w:t>
      </w:r>
      <w:bookmarkEnd w:id="19"/>
    </w:p>
    <w:p w14:paraId="62846E81" w14:textId="77777777" w:rsidR="00C957D5" w:rsidRDefault="00C957D5" w:rsidP="00C957D5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D49CBAC" w14:textId="77777777" w:rsidR="00825219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Elektroinstalace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areálového osvětlení 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bude napájena z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 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nov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ého 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rozváděčů R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_VO instalovaného na chodbě u vstupu do provozní budovy č.p.69.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</w:p>
    <w:p w14:paraId="0C69ED1F" w14:textId="77777777" w:rsidR="00825219" w:rsidRDefault="00825219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5D73BD8" w14:textId="7CD7FE86" w:rsidR="00524784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Rozváděč bud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e 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uzpůsoben potřebám nově navržených obvodů.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EA7C37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Součástí rozvaděče bude vypínač přívodu, přepěťová ochrana typu 1 a 2 a další jistící a spínací prvky</w:t>
      </w:r>
      <w:r w:rsid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Každá fáze bude samostatně ovládána časovým spínačem, </w:t>
      </w:r>
      <w:proofErr w:type="gramStart"/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</w:t>
      </w:r>
      <w:proofErr w:type="gramEnd"/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možnosti ručního vstupu. Svítidla tak budou rozdělena do tří skupin, se samostatně nastavitelným provozním režimem</w:t>
      </w:r>
      <w:r w:rsid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Provedení rozváděč</w:t>
      </w:r>
      <w:r w:rsid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</w:t>
      </w:r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je znázorněno v dokument</w:t>
      </w:r>
      <w:r w:rsid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</w:t>
      </w:r>
      <w:r w:rsidR="00524784" w:rsidRPr="0052478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D.1.</w:t>
      </w:r>
      <w:proofErr w:type="gramStart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4D</w:t>
      </w:r>
      <w:proofErr w:type="gramEnd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–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03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- </w:t>
      </w:r>
      <w:r w:rsidR="00524784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Schéma rozváděče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R_VO</w:t>
      </w:r>
    </w:p>
    <w:p w14:paraId="1DAA21B1" w14:textId="77777777" w:rsidR="005D068F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A7977A8" w14:textId="43EB7FD4" w:rsidR="005D068F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Rozváděč bud</w:t>
      </w:r>
      <w:r w:rsidR="0082521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proveden</w:t>
      </w:r>
      <w:r w:rsidR="0082521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ý</w:t>
      </w: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dle požadavků ČSN EN 61439-3.</w:t>
      </w:r>
    </w:p>
    <w:p w14:paraId="1059BA5B" w14:textId="77777777" w:rsidR="00EA7C37" w:rsidRPr="005D068F" w:rsidRDefault="00EA7C37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0F0441F" w14:textId="77777777" w:rsidR="005D068F" w:rsidRPr="005D068F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2130 </w:t>
      </w:r>
      <w:proofErr w:type="spellStart"/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3, čl. 7.7.1 budou veškeré vývody z rozvodnic rovnoměrně rozfázované tak, aby</w:t>
      </w:r>
    </w:p>
    <w:p w14:paraId="384135AC" w14:textId="1A7256E8" w:rsidR="00EA7C37" w:rsidRPr="005D068F" w:rsidRDefault="005D068F" w:rsidP="005D068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všechny fáze přívodního vedení </w:t>
      </w:r>
      <w:proofErr w:type="gramStart"/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byly</w:t>
      </w:r>
      <w:proofErr w:type="gramEnd"/>
      <w:r w:rsidRPr="005D068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pokud možno rovnoměrně zatěžovány.</w:t>
      </w:r>
    </w:p>
    <w:p w14:paraId="0A2E8C01" w14:textId="77777777" w:rsidR="00094754" w:rsidRDefault="00094754" w:rsidP="00AA588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F09E3CF" w14:textId="7E1692E1" w:rsidR="00094754" w:rsidRPr="00831B34" w:rsidRDefault="00094754" w:rsidP="00094754">
      <w:pPr>
        <w:pStyle w:val="Nadpis2"/>
        <w:numPr>
          <w:ilvl w:val="1"/>
          <w:numId w:val="8"/>
        </w:numPr>
      </w:pPr>
      <w:bookmarkStart w:id="20" w:name="_Toc160524353"/>
      <w:r>
        <w:t>Z</w:t>
      </w:r>
      <w:r w:rsidRPr="00094754">
        <w:t>emní rozvody VO</w:t>
      </w:r>
      <w:bookmarkEnd w:id="20"/>
    </w:p>
    <w:p w14:paraId="59753571" w14:textId="77777777" w:rsid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92B2849" w14:textId="0420D48A" w:rsidR="00094754" w:rsidRP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Nově budované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areálové osvětlení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je řešeno svítidly LED osazenými na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výložníky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ocelových stožár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o</w:t>
      </w:r>
    </w:p>
    <w:p w14:paraId="3F052DFE" w14:textId="0C69A9FE" w:rsidR="00094754" w:rsidRP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výšce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10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 nad terénem.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Napojení rozvodu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areálového osvětlení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bude provedeno z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 nově instalovaného rozvaděče R_VO umístěného na chodbě u vstupu do provozní budovy.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Stožáry budou kruhově propojeny kabelem t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ypu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YKY-J 4x16, uloženým v zemi a ve zpevněných plochách</w:t>
      </w:r>
    </w:p>
    <w:p w14:paraId="7688CD46" w14:textId="0812ED38" w:rsidR="00094754" w:rsidRP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chráničce a bude smyčkován přes stožárové svorkovnice jednotlivých svítidel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 posledního</w:t>
      </w:r>
    </w:p>
    <w:p w14:paraId="7B5C822E" w14:textId="378C44A1" w:rsidR="00094754" w:rsidRP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stožáru bude vyveden rezervní chránička a ukončena v zatravněné ploše vedle chodníkového tělesa mimo</w:t>
      </w:r>
      <w:r w:rsidR="00F071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ochranná pásma ostatních sítí.</w:t>
      </w:r>
      <w:r w:rsidR="00F071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Kabelové vedení bude uloženo v chodníkových tělesech a v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lastRenderedPageBreak/>
        <w:t>zatravněném terénu v plastových chráničkách ø63. Pro</w:t>
      </w:r>
      <w:r w:rsidR="00F071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označení a krytí kabelu ve výkopech se položí výstražná fólie nad kabelem cca 20 cm (PVC červená). </w:t>
      </w:r>
      <w:proofErr w:type="spellStart"/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Propoje</w:t>
      </w:r>
      <w:proofErr w:type="spellEnd"/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ve</w:t>
      </w:r>
      <w:r w:rsidR="00F071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stožárcích mezi </w:t>
      </w:r>
      <w:proofErr w:type="spellStart"/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stožárkovými</w:t>
      </w:r>
      <w:proofErr w:type="spellEnd"/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svorkovnicemi a svítidly budou provedeny pomocí kabelů typu CYKY-J 3x</w:t>
      </w:r>
      <w:r w:rsidR="00F0711B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</w:t>
      </w: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,5. Kabelové</w:t>
      </w:r>
    </w:p>
    <w:p w14:paraId="2654D205" w14:textId="26FB0F7B" w:rsidR="00094754" w:rsidRDefault="00094754" w:rsidP="00094754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09475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rozvody VO budou provedeny v souladu s požadavky platných ČSN.</w:t>
      </w:r>
    </w:p>
    <w:p w14:paraId="7C517C6E" w14:textId="77777777" w:rsidR="00AA588B" w:rsidRDefault="00AA588B" w:rsidP="00AA588B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FE37F1D" w14:textId="02455C3A" w:rsidR="00860B58" w:rsidRPr="00831B34" w:rsidRDefault="00860B58" w:rsidP="00860B58">
      <w:pPr>
        <w:pStyle w:val="Nadpis2"/>
        <w:numPr>
          <w:ilvl w:val="1"/>
          <w:numId w:val="8"/>
        </w:numPr>
      </w:pPr>
      <w:bookmarkStart w:id="21" w:name="_Toc160524354"/>
      <w:r>
        <w:t>O</w:t>
      </w:r>
      <w:r w:rsidRPr="00860B58">
        <w:t>značení svítidel</w:t>
      </w:r>
      <w:bookmarkEnd w:id="21"/>
      <w:r w:rsidRPr="00831B34">
        <w:tab/>
      </w:r>
    </w:p>
    <w:p w14:paraId="75902D5D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01FE9D41" w14:textId="57B6EC39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Všechny nové stožárky rozvodu VO budou označeny číslem ve tvaru „pořadové číslo svítidla/číslo světelného okruhu“,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které si provede správce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nebo provozovatel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veřejného osvětlení dle místních podmínek.</w:t>
      </w:r>
    </w:p>
    <w:p w14:paraId="2B9C3043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163BF8B" w14:textId="16B1AD6F" w:rsidR="00860B58" w:rsidRPr="00831B34" w:rsidRDefault="00860B58" w:rsidP="00860B58">
      <w:pPr>
        <w:pStyle w:val="Nadpis2"/>
        <w:numPr>
          <w:ilvl w:val="1"/>
          <w:numId w:val="8"/>
        </w:numPr>
      </w:pPr>
      <w:bookmarkStart w:id="22" w:name="_Toc160524355"/>
      <w:r w:rsidRPr="00860B58">
        <w:t>Výzbroj osvětlovacích bodů</w:t>
      </w:r>
      <w:bookmarkEnd w:id="22"/>
      <w:r w:rsidRPr="00831B34">
        <w:tab/>
      </w:r>
    </w:p>
    <w:p w14:paraId="3AB7E1AE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21533D4F" w14:textId="6E0626D9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Stožár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-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ocelový osvětlovací vetknutý stupňovitý nadzemní výšky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8,2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m, horní průměr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89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mm, délka vetknutí do země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1,2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m,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celková délka dříku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9,4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m, průměr spodní části 1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59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mm, materiál stožáru </w:t>
      </w:r>
      <w:r w:rsidR="00D04EFE"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oboustranné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D04EFE"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žárov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ě zinkovaná ocel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, zapuštěná dvířka se zaoblenými rohy šířky 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100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mm, výšky 400mm, spodní okraj dvířek 600mm nad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vetknutím, zemnící šroub z nerez oceli, 2 protilehlé zaoblené vstupní otvory pro kabely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(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šířky 50mm, výšky 150mm, 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spodní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okraj </w:t>
      </w:r>
      <w:r w:rsid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500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mm pod úrovní vetknutí), označení stožáru štítkem za dvířky.</w:t>
      </w:r>
    </w:p>
    <w:p w14:paraId="486EE115" w14:textId="77777777" w:rsidR="004E41EF" w:rsidRDefault="004E41EF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773161A" w14:textId="1430C205" w:rsidR="004E41EF" w:rsidRDefault="004E41EF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proofErr w:type="gramStart"/>
      <w:r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Výložník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-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ocelový</w:t>
      </w:r>
      <w:proofErr w:type="gramEnd"/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4E41E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obloukový výložník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výšky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1,8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m,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vsazovaný </w:t>
      </w:r>
      <w:r w:rsidR="00D04EFE" w:rsidRP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dovnitř vrchního stupně 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stožáru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průměru 89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mm, délka v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yložení 2,0m, uhel vyložení 7°,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průměr 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dříku pro osazení svítidla 60mm,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materiál 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výložníku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oboustranné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žárov</w:t>
      </w:r>
      <w:r w:rsidR="00D04EFE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ě zinkovaná ocel</w:t>
      </w:r>
      <w:r w:rsidRPr="00860B5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03136B8C" w14:textId="77777777" w:rsidR="007754BC" w:rsidRDefault="007754BC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BAA0AF2" w14:textId="7744E9DC" w:rsidR="007754BC" w:rsidRDefault="007754BC" w:rsidP="007754B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proofErr w:type="spellStart"/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Elektrovýzbroj</w:t>
      </w:r>
      <w:proofErr w:type="spellEnd"/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 </w:t>
      </w:r>
      <w:proofErr w:type="spellStart"/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stožárková</w:t>
      </w:r>
      <w:proofErr w:type="spellEnd"/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- </w:t>
      </w:r>
      <w:proofErr w:type="gramStart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5-pólová</w:t>
      </w:r>
      <w:proofErr w:type="gramEnd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 s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 1ks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odpínač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 průměr připojovacích kabelů min. 25mm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 krytem svorkovnice splňující min. krytí IP20.</w:t>
      </w:r>
    </w:p>
    <w:p w14:paraId="2E3706D6" w14:textId="77777777" w:rsidR="007754BC" w:rsidRDefault="007754BC" w:rsidP="007754B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5248FF6" w14:textId="550DFEDF" w:rsidR="007754BC" w:rsidRPr="007754BC" w:rsidRDefault="007754BC" w:rsidP="007754B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754BC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Svítidlo typ P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-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LED svítidlo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150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W. Počet LED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20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ks, světelný tok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19 500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lm, teplota chromatičnosti 2700K, index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podání barev – CRI min.:70, konstantní světelný tok po dobu životnosti svítidla, doba životnosti LED zdrojů min.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100000 </w:t>
      </w:r>
      <w:proofErr w:type="gramStart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hod.(</w:t>
      </w:r>
      <w:proofErr w:type="gramEnd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životnost zdrojů dle </w:t>
      </w:r>
      <w:proofErr w:type="spellStart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spec</w:t>
      </w:r>
      <w:proofErr w:type="spellEnd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L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7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0/B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5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0 při </w:t>
      </w:r>
      <w:proofErr w:type="spellStart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tepl</w:t>
      </w:r>
      <w:proofErr w:type="spellEnd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25C), krytí min. IP66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,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doporučená charakteristika vyzařování viz. příloha č.01. Odolnost svítidla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proti nárazu min. IK 08, třída ochrany I, záruka na LED modul min. 10let, záruka na LED driver min. 5 let, záruka na</w:t>
      </w:r>
    </w:p>
    <w:p w14:paraId="7B3B9AA8" w14:textId="5D56678D" w:rsidR="007754BC" w:rsidRDefault="007754BC" w:rsidP="007754B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svítidlo jako celek 3roky. Rozměry a vzhled: tělo svítidla hliník, barevné provedení: barevný standart výrobce,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obdélníkový tvar (délka </w:t>
      </w:r>
      <w:proofErr w:type="gramStart"/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553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mm</w:t>
      </w:r>
      <w:proofErr w:type="gramEnd"/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, šíře 2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7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0mm, výšky 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7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3mm, hmotnost svítidla max 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4,15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kg, osazení na dřík průměru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7754B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60mm, náklon min. 0st. až.20st. (el. předřadník ve svítidle, s přepěťovou ochranou)</w:t>
      </w:r>
      <w:r w:rsidR="00C63674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</w:p>
    <w:p w14:paraId="25C1BCBB" w14:textId="77777777" w:rsidR="004019A7" w:rsidRDefault="004019A7" w:rsidP="007754B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819D48C" w14:textId="52996B13" w:rsidR="003C0303" w:rsidRDefault="004019A7" w:rsidP="003C0303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4019A7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Ovládání </w:t>
      </w:r>
      <w:r w:rsidR="003C0303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a jištění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– </w:t>
      </w:r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napojení a odjištění svítidel bude provedeno </w:t>
      </w:r>
      <w:r w:rsidR="003C0303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paticích pojistkových spodků pomocí</w:t>
      </w:r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3C0303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odpínačů s pojistkami typu </w:t>
      </w:r>
      <w:proofErr w:type="gramStart"/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6</w:t>
      </w:r>
      <w:r w:rsidR="003C0303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A</w:t>
      </w:r>
      <w:proofErr w:type="gramEnd"/>
      <w:r w:rsidR="003C0303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/</w:t>
      </w:r>
      <w:proofErr w:type="spellStart"/>
      <w:r w:rsidR="003C0303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gG</w:t>
      </w:r>
      <w:proofErr w:type="spellEnd"/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a rozfázováno (viz schéma zapojení). Každá fáze bude samostatně ovládána časovým spínačem, </w:t>
      </w:r>
      <w:proofErr w:type="gramStart"/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</w:t>
      </w:r>
      <w:proofErr w:type="gramEnd"/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 možnosti ručního vstupu. Svítidla tak budou rozdělena do tří skupin, se samostatně nastavitelným provozním režimem. Podle provozních potřeb bude možno měnit skupinu svítidla, přepojením na jinou fázi ve svorkovnici stožáru. </w:t>
      </w:r>
      <w:r w:rsidR="0052691F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 jednotlivých stožárových výzbrojích bude provedeno rozdělení soustavy TN-C</w:t>
      </w:r>
      <w:r w:rsid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52691F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na TN-S. Hodnoty jistících prvků vyhovují požadavkům ČSN pro</w:t>
      </w:r>
      <w:r w:rsid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="0052691F" w:rsidRP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bezpečné vypnutí v čase do 5 s</w:t>
      </w:r>
    </w:p>
    <w:p w14:paraId="11168D20" w14:textId="77777777" w:rsidR="003C0303" w:rsidRDefault="003C0303" w:rsidP="004019A7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142CFE4" w14:textId="48C7AE60" w:rsidR="003C0303" w:rsidRDefault="0052691F" w:rsidP="0052691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>Uzemnění</w:t>
      </w:r>
      <w:r w:rsidR="003C0303" w:rsidRPr="004019A7"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  <w:t xml:space="preserve"> </w:t>
      </w:r>
      <w:r w:rsidR="003C0303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–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</w:t>
      </w:r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zemnění bude provedeno páskem </w:t>
      </w:r>
      <w:proofErr w:type="spellStart"/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FeZn</w:t>
      </w:r>
      <w:proofErr w:type="spellEnd"/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30x4 uloženým mezi stožáry na dně výkopu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Přes p</w:t>
      </w:r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řechodový drát </w:t>
      </w:r>
      <w:proofErr w:type="spellStart"/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FeZn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pro </w:t>
      </w:r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bude ukončen na uzemňovací svorce SP-1 stožáru. Uzemnění ocelových stožárů nesmí přesáhnout hodnotu 2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ohm. </w:t>
      </w:r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Uzemnění musí být provedeno v souladu s požadavky ČSN 33 2000-5-54, ČSN 33 2000-4-41 a ocelových stožárů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52691F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též podle ČSN 34 1390.</w:t>
      </w:r>
    </w:p>
    <w:p w14:paraId="4F7AB371" w14:textId="77777777" w:rsidR="003C0303" w:rsidRDefault="003C0303" w:rsidP="004019A7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DBD013B" w14:textId="4B84D67B" w:rsidR="00860B58" w:rsidRPr="00831B34" w:rsidRDefault="0004369C" w:rsidP="00860B58">
      <w:pPr>
        <w:pStyle w:val="Nadpis2"/>
        <w:numPr>
          <w:ilvl w:val="1"/>
          <w:numId w:val="8"/>
        </w:numPr>
      </w:pPr>
      <w:bookmarkStart w:id="23" w:name="_Toc160524356"/>
      <w:r w:rsidRPr="0004369C">
        <w:t>Ochrana před přepětím</w:t>
      </w:r>
      <w:bookmarkEnd w:id="23"/>
    </w:p>
    <w:p w14:paraId="26E4F121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7D415FD2" w14:textId="77777777" w:rsidR="00F47D90" w:rsidRDefault="00F47D9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 rozvaděči R_VO bude instalovaná přepěťová ochrana typu 1 a 2. </w:t>
      </w:r>
    </w:p>
    <w:p w14:paraId="5E07B6C1" w14:textId="77777777" w:rsidR="00CC5761" w:rsidRDefault="00CC5761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0518550" w14:textId="77777777" w:rsidR="00F47D90" w:rsidRDefault="00F47D9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14DF8DF" w14:textId="3465E1F8" w:rsidR="004841C1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2000-1 </w:t>
      </w:r>
      <w:proofErr w:type="spellStart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131.6.2 musí být osoby, hospodářská zvířata i majetek chráněny před poškozením v důsledku přepětí, které vzniká z atmosférických vlivů, nebo ze spínacích procesů.</w:t>
      </w:r>
    </w:p>
    <w:p w14:paraId="7EF60FBA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0C65C97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2000-4-443 </w:t>
      </w:r>
      <w:proofErr w:type="spellStart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3, čl. 443.4 písm. a) se musí ochrana před přechodnými přepětími zajišťovat tam, kde následky způsobené přepětím mohou postihovat lidský život.</w:t>
      </w:r>
    </w:p>
    <w:p w14:paraId="14DAD6D0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4326218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33 2000-5-53 </w:t>
      </w:r>
      <w:proofErr w:type="spellStart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3, čl. 534.4.1 jestliže je budova vybavena vnějším systémem ochrany před bleskem nebo je ochrana před účinky přímého úderu blesku předepsána jiným způsobem, musí být použity přepěťové ochrany (SPD) typu 1; pro ochranu před účinky blesku a spínacích přepětí musí být použity SPD typu 2. SPD typu 2 nebo typu 3 pak mohou být zapotřebí v blízkosti citlivých zařízení. </w:t>
      </w:r>
    </w:p>
    <w:p w14:paraId="1BE9E9CB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otázce potřeby osazení SPD typu 3 je potřeba se řídit požadavky výrobců napájených zařízení.</w:t>
      </w:r>
    </w:p>
    <w:p w14:paraId="77BAD7A0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070FB6D" w14:textId="1751476D" w:rsidR="00F47D9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ČSN EN 62305-4 </w:t>
      </w:r>
      <w:proofErr w:type="spellStart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9D03E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7 musí být v systému ochranných opatření používajícím koncepci zón ochrany před bleskem s více než jednou LPZ (LPZ 1, LPZ 2 a vyšší) SPD umístěny na vstupu vedení do každé LPZ. V systému ochranných opatření používajícím jen LPZ 1, musí být SPD umístěn minimálně na vstupu vedení do LPZ 1.</w:t>
      </w:r>
    </w:p>
    <w:p w14:paraId="4F1AD462" w14:textId="77777777" w:rsidR="009D03E0" w:rsidRPr="009D03E0" w:rsidRDefault="009D03E0" w:rsidP="009D03E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36BDD61" w14:textId="764BAAC0" w:rsidR="00860B58" w:rsidRPr="00831B34" w:rsidRDefault="00F47D90" w:rsidP="00860B58">
      <w:pPr>
        <w:pStyle w:val="Nadpis2"/>
        <w:numPr>
          <w:ilvl w:val="1"/>
          <w:numId w:val="8"/>
        </w:numPr>
      </w:pPr>
      <w:bookmarkStart w:id="24" w:name="_Toc160524357"/>
      <w:r w:rsidRPr="00F47D90">
        <w:t>Zemní práce</w:t>
      </w:r>
      <w:bookmarkEnd w:id="24"/>
      <w:r w:rsidR="00860B58" w:rsidRPr="00831B34">
        <w:tab/>
      </w:r>
    </w:p>
    <w:p w14:paraId="0C18C914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EDDFB41" w14:textId="27DCE6D2" w:rsidR="002B1E39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Zemní práce spočívají ve výkopu rýhy pro zemní kabely, jámy pro základy stožá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r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ů, zhotovení základu stožáru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,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 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ásypu a zhutnění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předešlých výkopů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a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 definitivní úpravou poškozených povrchů – jejich uvedení do původního stavu.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Kabelové rýhy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budou provedeny dle 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výkresů řezů (</w:t>
      </w:r>
      <w:proofErr w:type="spellStart"/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viz.výkr.č</w:t>
      </w:r>
      <w:proofErr w:type="spellEnd"/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D.1.</w:t>
      </w:r>
      <w:proofErr w:type="gramStart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4D</w:t>
      </w:r>
      <w:proofErr w:type="gramEnd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- 04</w:t>
      </w:r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</w:p>
    <w:p w14:paraId="50BD9D28" w14:textId="77777777" w:rsidR="002B1E39" w:rsidRDefault="002B1E39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AEC814E" w14:textId="16264BFB" w:rsidR="00F47D90" w:rsidRPr="00F47D90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Základy ocelových stožárků budou provedeny 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dle výkresů </w:t>
      </w:r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(</w:t>
      </w:r>
      <w:proofErr w:type="spellStart"/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viz.výkr.č</w:t>
      </w:r>
      <w:proofErr w:type="spellEnd"/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D.1.</w:t>
      </w:r>
      <w:proofErr w:type="gramStart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4D</w:t>
      </w:r>
      <w:proofErr w:type="gramEnd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- 04</w:t>
      </w:r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). 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Zemní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práce budou prováděny ručně nebo malou mechanizací tak, aby nebyly dotčeny stávající inženýrské sítě</w:t>
      </w:r>
    </w:p>
    <w:p w14:paraId="7BED46F8" w14:textId="585C655D" w:rsidR="00F47D90" w:rsidRPr="00F47D90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případně vzrostlá zeleň. V tom případě musí stavebník, při provádění zemních prací, dodržovat podmínky pro práce v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blízkosti podzemních inženýrských </w:t>
      </w:r>
      <w:proofErr w:type="gramStart"/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sítí - podmínky</w:t>
      </w:r>
      <w:proofErr w:type="gramEnd"/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majitelů těchto sítí. Při pracích v blízkosti vzrostlých dřevin musí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být dodržena ČSN 83 9061. Vytýčení stávajících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inženýrských sítí zajistí zhotovitel stavby u jejich majitelů nebo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správců a toto musí být zhotoviteli předáno protokolárně s určením trasy a hloubky zařízení v celé délce ohrožení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dotčeného zařízení.</w:t>
      </w:r>
    </w:p>
    <w:p w14:paraId="23538440" w14:textId="6327F83F" w:rsidR="00F47D90" w:rsidRPr="00F47D90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Trasy vedení VO a umístění stožárů VO je patrno z 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výkresů </w:t>
      </w:r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(</w:t>
      </w:r>
      <w:proofErr w:type="spellStart"/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viz.výkr.č</w:t>
      </w:r>
      <w:proofErr w:type="spellEnd"/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. </w:t>
      </w:r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D.1.</w:t>
      </w:r>
      <w:proofErr w:type="gramStart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4D</w:t>
      </w:r>
      <w:proofErr w:type="gramEnd"/>
      <w:r w:rsidR="00DC6659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- 04</w:t>
      </w:r>
      <w:r w:rsidR="001F77D8"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).</w:t>
      </w:r>
      <w:r w:rsidRPr="00DC665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Na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zatravněné ploše je trasa vedení uložena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chráničce KOPOFLEX ø63 v hloubce 0,8m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,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 chodnících v hloubce 0,5m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a pod komunikaci se </w:t>
      </w:r>
      <w:r w:rsidR="001F77D8" w:rsidRP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zpevněným povrchem v hloubce 1,2m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(případně doplněno </w:t>
      </w:r>
      <w:proofErr w:type="spellStart"/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obetónovaním</w:t>
      </w:r>
      <w:proofErr w:type="spellEnd"/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).</w:t>
      </w:r>
    </w:p>
    <w:p w14:paraId="427F032A" w14:textId="77777777" w:rsidR="002B1E39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Chráničky budou spojovány originálními spojkami od výrobce chrániček, rezervní trubky budou opatřeny originálními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záslepkami a přechody mezi trubkami protlaků a chrániček a ostatní trubkové přechody budou utěsněny polyuretanovou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nízko-expanzní pěnou. </w:t>
      </w:r>
    </w:p>
    <w:p w14:paraId="02564708" w14:textId="77777777" w:rsidR="002B1E39" w:rsidRDefault="002B1E39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01E9229" w14:textId="242DCDDB" w:rsidR="002B1E39" w:rsidRDefault="00F47D90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Před záhozem tras a osazením stožárů do základů bude přizván 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technický dozor nebo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správce VO, pro kontrolu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uložení a tomto bude proveden zápis do stavebního deníku.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Po pokládce ochranných trubek a po zatažení a uložení kabelů budou výkopy zasypány výkopkem cca po </w:t>
      </w:r>
      <w:proofErr w:type="gramStart"/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15-ti</w:t>
      </w:r>
      <w:proofErr w:type="gramEnd"/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cm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vrstvách s průběžným strojním hutněním. V celé délce trasy bude cca 20 cm nad chráničkami uložena výstražná</w:t>
      </w:r>
      <w:r w:rsidR="001F77D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F47D90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červená folie dle ČSN 73 6006.</w:t>
      </w:r>
    </w:p>
    <w:p w14:paraId="2ECB3E9A" w14:textId="77777777" w:rsidR="001F77D8" w:rsidRDefault="001F77D8" w:rsidP="00F47D90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5F30B3B" w14:textId="1C04B80A" w:rsidR="00860B58" w:rsidRPr="00831B34" w:rsidRDefault="002B1E39" w:rsidP="00860B58">
      <w:pPr>
        <w:pStyle w:val="Nadpis2"/>
        <w:numPr>
          <w:ilvl w:val="1"/>
          <w:numId w:val="8"/>
        </w:numPr>
      </w:pPr>
      <w:bookmarkStart w:id="25" w:name="_Toc160524358"/>
      <w:r w:rsidRPr="002B1E39">
        <w:t>Kř</w:t>
      </w:r>
      <w:r>
        <w:t>í</w:t>
      </w:r>
      <w:r w:rsidRPr="002B1E39">
        <w:t>ž</w:t>
      </w:r>
      <w:r>
        <w:t>ení</w:t>
      </w:r>
      <w:r w:rsidRPr="002B1E39">
        <w:t xml:space="preserve"> a souběhy, ochranná pásma</w:t>
      </w:r>
      <w:bookmarkEnd w:id="25"/>
      <w:r w:rsidR="00860B58" w:rsidRPr="00831B34">
        <w:tab/>
      </w:r>
    </w:p>
    <w:p w14:paraId="3802C70D" w14:textId="77777777" w:rsidR="00860B58" w:rsidRDefault="00860B58" w:rsidP="00860B5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767E4A3D" w14:textId="7B512697" w:rsidR="00860B58" w:rsidRDefault="002B1E39" w:rsidP="002B1E3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Musí být provedeny dle ČSN 736005. Dojde ke křižování a případnému souběhu projektovaného vedení se stávajícím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podzemním vedením – vodovod, plynovod, kanalizace, sdělovací vedení. Dále je nutná koordinace projektovaného VO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s ostatními plánovanými </w:t>
      </w:r>
      <w:proofErr w:type="gramStart"/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ing.</w:t>
      </w:r>
      <w:proofErr w:type="gramEnd"/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sítěmi. Při stavbě se musí dodržet veškeré podmínky, které pro tuto stavbu byly stanoveny</w:t>
      </w:r>
      <w:r w:rsidR="009F2D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dotčenými majiteli a správci sítí, zařízení a objektů! Ochranné pásmo vedení VO nestanovuje žádný technický ani</w:t>
      </w:r>
      <w:r w:rsidR="009F2DDD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2B1E3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právní předpis. Podmínky ochrany VO a jeho bezpečnostní pásmo si určí provozovatel VO.</w:t>
      </w:r>
    </w:p>
    <w:p w14:paraId="6BBAC1DD" w14:textId="77777777" w:rsidR="004841C1" w:rsidRDefault="004841C1" w:rsidP="002B1E3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7CC43A8" w14:textId="77777777" w:rsidR="004841C1" w:rsidRDefault="004841C1" w:rsidP="002B1E3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D9384BC" w14:textId="6C85A4C4" w:rsidR="004F1C04" w:rsidRPr="00831B34" w:rsidRDefault="009F2DDD" w:rsidP="00831B34">
      <w:pPr>
        <w:pStyle w:val="Nadpis2"/>
        <w:numPr>
          <w:ilvl w:val="1"/>
          <w:numId w:val="8"/>
        </w:numPr>
      </w:pPr>
      <w:bookmarkStart w:id="26" w:name="_Toc160524359"/>
      <w:r w:rsidRPr="009F2DDD">
        <w:t>Vyjádření o podzemních zařízeních</w:t>
      </w:r>
      <w:bookmarkEnd w:id="26"/>
      <w:r w:rsidR="00F80600" w:rsidRPr="00831B34">
        <w:tab/>
      </w:r>
    </w:p>
    <w:p w14:paraId="26E40F40" w14:textId="77777777" w:rsidR="00F80600" w:rsidRDefault="00F80600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30BCEEFD" w14:textId="09AA29A6" w:rsidR="009F2DDD" w:rsidRPr="00350A56" w:rsidRDefault="009F2DDD" w:rsidP="009F2DDD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Před zahájením jakýchkoliv zemních prací musí být provedeno vytyčení podzemních sítí. Realizační firma má povinnost řídit se pokyny správců podzemních vedení a chránit tato vedení před jejich poškozením. Po přesném vytýčení stávajících sítí lze při předání staveniště upřesnit kabelové trasy,</w:t>
      </w:r>
    </w:p>
    <w:p w14:paraId="5649292F" w14:textId="6A738B2B" w:rsidR="00350A56" w:rsidRDefault="009F2DDD" w:rsidP="00350A56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případně navrhnout další chráničky.</w:t>
      </w:r>
      <w:r w:rsid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Podmínky správců stávajících sítí jsou uvedeny ve vyjádřeních jednotlivých správců </w:t>
      </w:r>
      <w:r w:rsid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–</w:t>
      </w: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proofErr w:type="spellStart"/>
      <w:proofErr w:type="gramStart"/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viz</w:t>
      </w:r>
      <w:r w:rsid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</w:t>
      </w: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kopie</w:t>
      </w:r>
      <w:proofErr w:type="spellEnd"/>
      <w:proofErr w:type="gramEnd"/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těchto vyjádření v dokladové části PD.</w:t>
      </w:r>
    </w:p>
    <w:p w14:paraId="4184CC97" w14:textId="77777777" w:rsidR="00350A56" w:rsidRPr="00350A56" w:rsidRDefault="00350A56" w:rsidP="00350A56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CA4BEDD" w14:textId="26221972" w:rsidR="0099249B" w:rsidRDefault="009F2DDD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Před zahájením výkopových prací musí být na základě těchto vyjádření zažádáno o</w:t>
      </w:r>
      <w:r w:rsid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 w:rsidRPr="00350A56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vytýčení zařízení a případný technický dozor jejich majitelů.</w:t>
      </w:r>
    </w:p>
    <w:p w14:paraId="34DC9D5C" w14:textId="77777777" w:rsidR="0099249B" w:rsidRDefault="0099249B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DE05E3B" w14:textId="32AB6C1D" w:rsidR="00A676E7" w:rsidRPr="00831B34" w:rsidRDefault="006F1339" w:rsidP="00374EB9">
      <w:pPr>
        <w:pStyle w:val="Nadpis2"/>
        <w:numPr>
          <w:ilvl w:val="1"/>
          <w:numId w:val="8"/>
        </w:numPr>
      </w:pPr>
      <w:bookmarkStart w:id="27" w:name="_Toc160524360"/>
      <w:r w:rsidRPr="00831B34">
        <w:t>Požární opatření</w:t>
      </w:r>
      <w:r w:rsidR="00374EB9">
        <w:t xml:space="preserve"> a požadavky na rozvody</w:t>
      </w:r>
      <w:bookmarkEnd w:id="27"/>
      <w:r w:rsidRPr="00831B34">
        <w:tab/>
      </w:r>
    </w:p>
    <w:p w14:paraId="15C49B30" w14:textId="77777777" w:rsidR="006F1339" w:rsidRDefault="006F133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4"/>
          <w:szCs w:val="24"/>
          <w:lang w:eastAsia="en-US"/>
        </w:rPr>
      </w:pPr>
    </w:p>
    <w:p w14:paraId="438BB8DA" w14:textId="50675585" w:rsidR="00A676E7" w:rsidRDefault="00374EB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 rámci stavby areálového osvětlení </w:t>
      </w:r>
      <w:r w:rsidR="00056049" w:rsidRPr="0005604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nebudou napájena žádná požárně bezpečnostní zařízení.</w:t>
      </w:r>
    </w:p>
    <w:p w14:paraId="67038299" w14:textId="77777777" w:rsidR="00374EB9" w:rsidRDefault="00374EB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3C99072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Nařízení EU č. 305/2011, kterým se stanoví harmonizované podmínky pro uvádění stavebních</w:t>
      </w:r>
    </w:p>
    <w:p w14:paraId="66B70748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výrobků na trh, ve znění pozdějších předpisů, Příloha I bod 2 písm. b), musí být stavba provedena</w:t>
      </w:r>
    </w:p>
    <w:p w14:paraId="169F32E5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takovým způsobem, aby v případě požáru byl uvnitř stavby omezen vznik a šíření ohně a kouře.</w:t>
      </w:r>
    </w:p>
    <w:p w14:paraId="74703795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0113868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vyhlášky č. 23/2008 Sb., o technických podmínkách požární ochrany staveb, ve znění pozdějších</w:t>
      </w:r>
    </w:p>
    <w:p w14:paraId="7FADA932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předpisů, § 9 odst. 6, musí být každý prostup požárně dělicími konstrukcemi utěsněn podle požadavků vyhláškou odkazovaných českých technických norem, a musí být zřetelně označen štítkem obsahujícím informace o: požární odolnosti, druhu nebo typu ucpávky, datu provedení, firmě, adrese a jméně zhotovitele, označení výrobce systému.</w:t>
      </w:r>
    </w:p>
    <w:p w14:paraId="4440E4F1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89BBC1C" w14:textId="77777777" w:rsidR="00374EB9" w:rsidRDefault="00374EB9" w:rsidP="00374EB9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Veškeré prostupy elektroinstalací konstrukčními prvky objektu a jednotlivými požárními úseky budou</w:t>
      </w:r>
    </w:p>
    <w:p w14:paraId="42F31DC3" w14:textId="2748AE8D" w:rsidR="00374EB9" w:rsidRDefault="00374EB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provedeny a utěsněny dle požadavků ČSN 73 0810, čl. 6.2.1 a ČSN 33 2000-5-52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 2, čl. 527.2.</w:t>
      </w:r>
      <w:r w:rsidRPr="0074482F">
        <w:rPr>
          <w:rFonts w:ascii="Calibri" w:eastAsiaTheme="minorHAnsi" w:hAnsi="Calibri" w:cs="Calibri"/>
          <w:b/>
          <w:bCs/>
          <w:spacing w:val="0"/>
          <w:sz w:val="28"/>
          <w:szCs w:val="28"/>
          <w:lang w:eastAsia="en-US"/>
        </w:rPr>
        <w:t xml:space="preserve"> </w:t>
      </w:r>
    </w:p>
    <w:p w14:paraId="544E9B90" w14:textId="77777777" w:rsidR="00407926" w:rsidRDefault="00407926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D7B6B6A" w14:textId="69927988" w:rsidR="0074482F" w:rsidRPr="00831B34" w:rsidRDefault="0074482F" w:rsidP="00374EB9">
      <w:pPr>
        <w:pStyle w:val="Nadpis2"/>
        <w:numPr>
          <w:ilvl w:val="1"/>
          <w:numId w:val="8"/>
        </w:numPr>
      </w:pPr>
      <w:bookmarkStart w:id="28" w:name="_Toc160524361"/>
      <w:r w:rsidRPr="00831B34">
        <w:t>Zp</w:t>
      </w:r>
      <w:r w:rsidR="00A11AF2" w:rsidRPr="00831B34">
        <w:t>ů</w:t>
      </w:r>
      <w:r w:rsidRPr="00831B34">
        <w:t>sob napájení a vypínání objektu</w:t>
      </w:r>
      <w:bookmarkEnd w:id="28"/>
    </w:p>
    <w:p w14:paraId="623F5E9B" w14:textId="77777777" w:rsidR="00A676E7" w:rsidRDefault="00A676E7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b/>
          <w:bCs/>
          <w:spacing w:val="0"/>
          <w:sz w:val="22"/>
          <w:szCs w:val="22"/>
          <w:lang w:eastAsia="en-US"/>
        </w:rPr>
      </w:pPr>
    </w:p>
    <w:p w14:paraId="2132ABE7" w14:textId="2EDF50DC" w:rsidR="00374EB9" w:rsidRDefault="00374EB9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Stávající –</w:t>
      </w:r>
      <w:r w:rsidRPr="0005604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řešeno hlavním vypínačem před elektroměrem. Tím je zajištěno kompletní vypnutí celého areálu.</w:t>
      </w:r>
    </w:p>
    <w:p w14:paraId="137E54A5" w14:textId="77777777" w:rsidR="00374EB9" w:rsidRDefault="00374EB9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94BC583" w14:textId="2FF98C0B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vyhlášky č. 268/2009 Sb., o technických požadavcích na stavby, ve znění pozdějších předpisů, § 34 odst. 5, musí mít každá stavba trvale přístupné a viditelně trvale označené zařízení umožňující vypnutí elektrické energie.</w:t>
      </w:r>
    </w:p>
    <w:p w14:paraId="226F1DC7" w14:textId="77777777" w:rsidR="0060682C" w:rsidRP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AE51E69" w14:textId="77777777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Každá stavba musí mít dle ČSN 34 3085 </w:t>
      </w:r>
      <w:proofErr w:type="spellStart"/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2, čl. 5 trvale přístupné a viditelně trvale označené zařízení umožňující vypnutí elektrické energie.</w:t>
      </w:r>
    </w:p>
    <w:p w14:paraId="7E99C661" w14:textId="77777777" w:rsidR="0060682C" w:rsidRP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2CC8AAB" w14:textId="6C282363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ČSN 73 0848, čl. 6.1.3 musí mít každý objekt hlavní vypínač elektrické energie.</w:t>
      </w:r>
    </w:p>
    <w:p w14:paraId="4619F065" w14:textId="77777777" w:rsidR="00374EB9" w:rsidRPr="0060682C" w:rsidRDefault="00374EB9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BF0AAF3" w14:textId="77777777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Pro objekty se zařízeními s požadovanou funkcí při požáru se dle ČSN 73 0848, čl. 6.1.4 dělí hlavní vypínač elektrické energie na CENTRAL a TOTAL STOP, které budou umístěny v souladu s požadavky PBŘ. </w:t>
      </w:r>
    </w:p>
    <w:p w14:paraId="34110858" w14:textId="77777777" w:rsidR="0060682C" w:rsidRP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ADAE440" w14:textId="77777777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Funkce TOTAL STOP nemá být dle ČSN 73 0848, čl. 6.4.4 technicky řešena </w:t>
      </w:r>
      <w:proofErr w:type="spellStart"/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podpěťovou</w:t>
      </w:r>
      <w:proofErr w:type="spellEnd"/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cívkou bez zálohy a zpoždění, protože vypnutí požárně bezpečnostních zařízení a zařízení, která musí být funkční v případě požáru, by mohlo ohrozit osoby na životě. Případná výjimka musí být povolena v požárně bezpečnostním řešení a zdůvodněna rizikovou analýzou.</w:t>
      </w:r>
    </w:p>
    <w:p w14:paraId="009404F1" w14:textId="77777777" w:rsidR="00CC5761" w:rsidRDefault="00CC5761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F01317C" w14:textId="77777777" w:rsidR="00CC5761" w:rsidRDefault="00CC5761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E01DB14" w14:textId="77777777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64CC485" w14:textId="77777777" w:rsidR="00DC6659" w:rsidRPr="0060682C" w:rsidRDefault="00DC6659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125769D" w14:textId="5D7DF532" w:rsidR="006A7A5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Všechna zařízení v objektu nebo v jeho části, budou vypínána vypínacím prvkem TOTAL STOP ve smyslu ČSN 73 0848, čl. 6.4. Je navrženo osazení zaskleného tlačítka s rozpínacím kontaktem, které prostřednictvím napěťové spouště (tj. předepjatý obvod pro eliminaci nežádoucích vypnutí od podpětí) vypne veškerá elektrická zařízení v objektu. </w:t>
      </w:r>
    </w:p>
    <w:p w14:paraId="36ED8062" w14:textId="77777777" w:rsidR="006A7A5C" w:rsidRDefault="006A7A5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B5E1C67" w14:textId="77777777" w:rsidR="0060682C" w:rsidRDefault="0060682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0682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vyhlášky č. 246/2001 Sb., o stanovení podmínek požární bezpečnosti a výkonu státního požárního dozoru (vyhláška o požární prevenci), ve znění pozdějších předpisů, § 11 odst. 2 písm. f), je povinností právnických a podnikajících fyzických osob zajistit, aby rozvodná zařízení elektrické energie a hlavní vypínače elektrického proudu byly řádně označeny.</w:t>
      </w:r>
    </w:p>
    <w:p w14:paraId="5C45925F" w14:textId="77777777" w:rsidR="00374EB9" w:rsidRDefault="00374EB9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5194CCE" w14:textId="77777777" w:rsidR="006A7A5C" w:rsidRDefault="006A7A5C" w:rsidP="0060682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425083A" w14:textId="45F86CB6" w:rsidR="006F1339" w:rsidRPr="00E00E18" w:rsidRDefault="006F1339" w:rsidP="00BB44C7">
      <w:pPr>
        <w:pStyle w:val="Nadpis1"/>
        <w:numPr>
          <w:ilvl w:val="0"/>
          <w:numId w:val="8"/>
        </w:numPr>
        <w:autoSpaceDE w:val="0"/>
        <w:autoSpaceDN w:val="0"/>
        <w:adjustRightInd w:val="0"/>
        <w:ind w:left="375"/>
        <w:rPr>
          <w:rFonts w:cs="Calibri"/>
          <w:bCs/>
          <w:szCs w:val="28"/>
        </w:rPr>
      </w:pPr>
      <w:bookmarkStart w:id="29" w:name="_Toc160524362"/>
      <w:r w:rsidRPr="00831B34">
        <w:t>BEZPEČNOST PŘI REALIZACI A UŽÍVÁNÍ</w:t>
      </w:r>
      <w:bookmarkEnd w:id="29"/>
      <w:r w:rsidRPr="00E00E18">
        <w:rPr>
          <w:rFonts w:cs="Calibri"/>
          <w:bCs/>
          <w:szCs w:val="28"/>
        </w:rPr>
        <w:t xml:space="preserve"> </w:t>
      </w:r>
      <w:r w:rsidRPr="00E00E18">
        <w:rPr>
          <w:rFonts w:cs="Calibri"/>
          <w:bCs/>
          <w:szCs w:val="28"/>
        </w:rPr>
        <w:tab/>
      </w:r>
    </w:p>
    <w:p w14:paraId="6EC3352C" w14:textId="77777777" w:rsidR="006A29A8" w:rsidRDefault="006A29A8" w:rsidP="006F1339">
      <w:pPr>
        <w:pStyle w:val="Odstavecseseznamem"/>
        <w:autoSpaceDE w:val="0"/>
        <w:autoSpaceDN w:val="0"/>
        <w:adjustRightInd w:val="0"/>
        <w:ind w:left="375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</w:p>
    <w:p w14:paraId="03764659" w14:textId="77777777" w:rsidR="006A29A8" w:rsidRDefault="006A29A8" w:rsidP="006A29A8">
      <w:pPr>
        <w:pStyle w:val="Nadpis2"/>
        <w:numPr>
          <w:ilvl w:val="1"/>
          <w:numId w:val="8"/>
        </w:numPr>
        <w:tabs>
          <w:tab w:val="num" w:pos="709"/>
          <w:tab w:val="num" w:pos="1066"/>
        </w:tabs>
      </w:pPr>
      <w:bookmarkStart w:id="30" w:name="_Toc149664582"/>
      <w:bookmarkStart w:id="31" w:name="_Toc156366783"/>
      <w:bookmarkStart w:id="32" w:name="_Toc160524363"/>
      <w:r>
        <w:t>Zařazení zařízení do tříd a skupin</w:t>
      </w:r>
      <w:bookmarkEnd w:id="30"/>
      <w:bookmarkEnd w:id="31"/>
      <w:bookmarkEnd w:id="32"/>
    </w:p>
    <w:p w14:paraId="0A0AF88C" w14:textId="77777777" w:rsidR="006A29A8" w:rsidRDefault="006A29A8" w:rsidP="006A29A8">
      <w:pPr>
        <w:rPr>
          <w:lang w:eastAsia="en-US"/>
        </w:rPr>
      </w:pPr>
    </w:p>
    <w:p w14:paraId="3042536C" w14:textId="77777777" w:rsidR="006A29A8" w:rsidRDefault="006A29A8" w:rsidP="006A29A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29A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Elektrická zařízení na pracovištích jsou dle § 2 písm. a) zákona č. 250/2021 Sb., o bezpečnosti práce v souvislosti s provozem vyhrazených technických zařízení a o změně souvisejících zákonů vyhrazeným technickým zařízením, které při provozu představuje závažné riziko ohrožení života, zdraví a bezpečnosti fyzických osob.</w:t>
      </w:r>
    </w:p>
    <w:p w14:paraId="1DCDD2EA" w14:textId="77777777" w:rsidR="006A29A8" w:rsidRPr="006A29A8" w:rsidRDefault="006A29A8" w:rsidP="006A29A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B8713E6" w14:textId="77777777" w:rsidR="006A29A8" w:rsidRDefault="006A29A8" w:rsidP="006A29A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29A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§ 4 odst. 1 písm. c) nařízení vlády č. 190/2022 Sb., o vyhrazených technických elektrických zařízeních a požadavcích na zajištění jejich bezpečnosti, jde o vyhrazené elektrické zařízení I. třídy: elektrické zařízení v objektu, který podle PBŘ umožňuje přítomnost více než 200 osob.</w:t>
      </w:r>
    </w:p>
    <w:p w14:paraId="1AB142AC" w14:textId="77777777" w:rsidR="006A29A8" w:rsidRPr="006A29A8" w:rsidRDefault="006A29A8" w:rsidP="006A29A8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87D12D1" w14:textId="1D577144" w:rsidR="006A29A8" w:rsidRPr="006A29A8" w:rsidRDefault="006A29A8" w:rsidP="006A29A8">
      <w:pPr>
        <w:autoSpaceDE w:val="0"/>
        <w:autoSpaceDN w:val="0"/>
        <w:adjustRightInd w:val="0"/>
        <w:jc w:val="left"/>
        <w:rPr>
          <w:lang w:eastAsia="en-US"/>
        </w:rPr>
      </w:pPr>
      <w:r w:rsidRPr="006A29A8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Vyhrazená elektrická zařízení I. třídy představují dle § 3 odst. 2 zákona č. 250/2021 Sb., o bezpečnosti práce v souvislosti s provozem vyhrazených technických zařízení a o změně souvisejících zákonů, technická zařízení s nejvyšší mírou rizika.</w:t>
      </w:r>
    </w:p>
    <w:p w14:paraId="7819CFC6" w14:textId="77777777" w:rsidR="006A29A8" w:rsidRPr="00A676E7" w:rsidRDefault="006A29A8" w:rsidP="006F1339">
      <w:pPr>
        <w:pStyle w:val="Odstavecseseznamem"/>
        <w:autoSpaceDE w:val="0"/>
        <w:autoSpaceDN w:val="0"/>
        <w:adjustRightInd w:val="0"/>
        <w:ind w:left="375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</w:p>
    <w:p w14:paraId="31D86A78" w14:textId="7B75DCA9" w:rsidR="0074482F" w:rsidRPr="00831B34" w:rsidRDefault="006F1339" w:rsidP="00831B34">
      <w:pPr>
        <w:pStyle w:val="Nadpis2"/>
        <w:numPr>
          <w:ilvl w:val="1"/>
          <w:numId w:val="8"/>
        </w:numPr>
      </w:pPr>
      <w:bookmarkStart w:id="33" w:name="_Toc160524364"/>
      <w:r w:rsidRPr="00831B34">
        <w:t>Podmínky pro realizaci díla a jeho uvedení do provozu</w:t>
      </w:r>
      <w:bookmarkEnd w:id="33"/>
    </w:p>
    <w:p w14:paraId="1E30B1F9" w14:textId="77777777" w:rsidR="00A676E7" w:rsidRPr="00A676E7" w:rsidRDefault="00A676E7" w:rsidP="00A676E7">
      <w:pPr>
        <w:pStyle w:val="Odstavecseseznamem"/>
        <w:autoSpaceDE w:val="0"/>
        <w:autoSpaceDN w:val="0"/>
        <w:adjustRightInd w:val="0"/>
        <w:ind w:left="108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427BDFF8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zákona č. 183/2006 Sb., o územním plánování a stavebním řádu, ve znění pozdějších předpisů, § 160 odst. 1, může stavební a montážní práce provádět pouze stavební podnikatel, který při realizaci zabezpečí odborné vedení stavby stavbyvedoucím.</w:t>
      </w:r>
    </w:p>
    <w:p w14:paraId="2817F3E6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54C1792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zákona č. 183/2006 Sb., o územním plánování a stavebním řádu, ve znění pozdějších předpisů, § 134 odst. 2, může být stavbyvedoucím pouze osoba, která má pro tuto činnost oprávnění podle zvláštního právního předpisu, tedy osoba autorizovaná. Dle zákona č. 183/2006 Sb., o územním plánování a stavebním řádu, ve znění pozdějších předpisů, § 158 odst. 1, mohou odborné vedení provádění stavby nebo její změny vykonávat pouze fyzické osoby, které získaly oprávnění k jejich výkonu podle zvláštního právního předpisu, tedy osoby autorizované.</w:t>
      </w:r>
    </w:p>
    <w:p w14:paraId="7262A797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330F3C8" w14:textId="35B6ED0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zákona č. 360/1992 Sb., o výkonu povolání autorizovaných architektů a o výkonu povolání autorizovaných inženýrů a techniků činných ve výstavbě, ve znění pozdějších předpisů, § 12 odst. 6 + § 18 písm. h) + § 19 písm. d), je autorizovaná osoba oprávněna pouze v rozsahu oboru, popřípadě specializace, pro kterou jí byla udělena autorizace; odborné vedení realizace v souladu s touto dokumentací tak musí být zabezpečeno osobou, autorizovanou v oboru technika prostředí staveb, specializace elektrotechnická zařízení.</w:t>
      </w:r>
    </w:p>
    <w:p w14:paraId="7FBAA0C7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8054541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§ 7 odst. 1 zákona č. 250/2021 Sb., o bezpečnosti práce v souvislosti s provozem vyhrazených technických zařízení a o změně souvisejících zákonů, jsou montáž, opravy, revize, zkoušky vyhrazených technických zařízení oprávněny vykonávat pouze odborně způsobilé právnické osoby a podnikající fyzické osoby (dále všude jen „zhotovitel“).</w:t>
      </w:r>
    </w:p>
    <w:p w14:paraId="3C5FD34B" w14:textId="77777777" w:rsidR="00CC5761" w:rsidRDefault="00CC5761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9334351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285A786" w14:textId="4339B2C5" w:rsidR="00C039FF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Pro každou práci na vyhrazeném elektrickém zařízení musí být před jejím zahájením dle § 8 písm. e) nařízení vlády č. 190/2022 Sb., o vyhrazených technických elektrických zařízeních a požadavcích na zajištění jejich bezpečnosti, stanoven vedoucí práce, který má povinnost řádně zajistit danou činnost; </w:t>
      </w:r>
    </w:p>
    <w:p w14:paraId="3D3EA35C" w14:textId="63717440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před zahájením dané práce provede rozbor její složitosti, aby byla pro její výkon zvolena osoba s vhodnou odbornou způsobilostí; vedoucího práce na vyhrazeném elektrickém zařízení může vykonávat pouze osoba znalá.</w:t>
      </w:r>
    </w:p>
    <w:p w14:paraId="305C97DA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70DC49C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Zhotovitel vyhrazených technických zařízení dle zákona č. 250/2021 Sb., o bezpečnosti práce v souvislosti s provozem vyhrazených technických zařízení a o změně souvisejících zákonů zajistí, aby:</w:t>
      </w:r>
    </w:p>
    <w:p w14:paraId="563C5363" w14:textId="77777777" w:rsidR="006A7A5C" w:rsidRP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2 písm. d) uvedeného zákona montáž vyhrazených technických zařízení vykonávaly jen fyzické osoby, které jsou odborně způsobilé, a ve stanovených případech byly též držiteli osvědčení o odborné způsobilosti k činnostem na vyhrazených technických zařízeních;</w:t>
      </w:r>
    </w:p>
    <w:p w14:paraId="6357D813" w14:textId="77777777" w:rsidR="006A7A5C" w:rsidRP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1 uvedeného zákona při montáži vyhrazených technických zařízení postupoval v souladu s právními a ostatními předpisy k zajištění bezpečnosti a ochrany zdraví při práci tak, aby se vyhrazené technické zařízení nestalo příčinou ohrožení života a zdraví osob, majetku nebo životního prostředí;</w:t>
      </w:r>
    </w:p>
    <w:p w14:paraId="3C094C4F" w14:textId="77777777" w:rsid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2 písm. a) uvedeného zákona při uvádění vyhrazených technických zařízení do provozu byla provedena bezpečnostní opatření, prohlídky, kontroly, revize a zkoušky.</w:t>
      </w:r>
    </w:p>
    <w:p w14:paraId="3794A130" w14:textId="77777777" w:rsidR="006A7A5C" w:rsidRPr="006A7A5C" w:rsidRDefault="006A7A5C" w:rsidP="00CC5761">
      <w:pPr>
        <w:autoSpaceDE w:val="0"/>
        <w:autoSpaceDN w:val="0"/>
        <w:adjustRightInd w:val="0"/>
        <w:ind w:left="72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BC152C2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§ 5 nařízení vlády č. 190/2022 Sb., o vyhrazených technických elektrických zařízeních a požadavcích na zajištění jejich bezpečnosti, je pro montáž, opravy, revize a zkoušky vyhrazených elektrických zařízení odborně způsobilou osobou pouze právnická osoba nebo podnikající fyzická osoba s platným oprávněním, vydaným podle zákona, a to v rozsahu podle přílohy č. 3 k uvedenému nařízení.</w:t>
      </w:r>
    </w:p>
    <w:p w14:paraId="658300A4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290B112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Kontrolu u právnické osoby nebo podnikající fyzické osoby provozující elektrické zařízení, aby činnosti a řízení činností na elektrických zařízeních a v jejich blízkosti ve stanovených případech vykonávaly jen osoby odborně způsobilé k dané činnosti na elektrickém zařízení, zajišťuje dle § 3 odst. 3 nařízení vlády č. 194/2022 Sb., o požadavcích na odbornou způsobilost k výkonu činnosti na elektrických zařízeních a na odbornou způsobilost v elektrotechnice, osoba odpovědná za elektrické zařízení.</w:t>
      </w:r>
    </w:p>
    <w:p w14:paraId="71EF25D5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13E5DC27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Z hlediska odbornosti se požaduje, aby dodavatel elektroinstalace splňoval kvalifikační kritéria dle ČSN CLC/TS 50349. Dle čl. 8.2.1 musí být dodavatel kvalifikován pro činnosti v souladu s požadavky Tabulky 1 uvedené normy, dle čl. 8.3.2 musí dodavatel elektroinstalace splňovat minimální kritéria pro odbornou zkušenost stálých zaměstnanců dle Tabulek 2 a 3 uvedené normy. Od dodavatele elektroinstalace se požaduje minimální počet zaměstnanců dle čl. 8.3.3 uvedené normy.</w:t>
      </w:r>
    </w:p>
    <w:p w14:paraId="41212C42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43B8B1F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Práce v souvislosti s touto dokumentací se předpokládají prováděné bez napětí ve smyslu a dle požadavků ČSN EN 50110-1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3, čl. 6.2. Pro zajištění ochrany zdraví a bezpečnosti práce je dle ČSN EN 50110-1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3, čl. 6.1.1 povinností zhotovitele provést před zahájením prací vyhodnocení rizik, a přijmout veškerá nezbytná související ochranná opatření.</w:t>
      </w:r>
    </w:p>
    <w:p w14:paraId="4782D2E8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B5524FD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§ 4 odst. 1 nařízení vlády č. 117/2016 Sb., o posuzování shody výrobků z hlediska elektromagnetické kompatibility při jejich dodávání na trh, ve znění pozdějších předpisů, může být pevná instalace uvedena do provozu pouze je-li provedena tak, aby za předpokladu, že je řádně instalována, udržována a používána pro určené účely, splňovala požadavky uvedeného nařízení.</w:t>
      </w:r>
    </w:p>
    <w:p w14:paraId="7C78DA25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nařízení vlády č. 101/2005 Sb., o podrobnějších požadavcích na pracoviště a pracovní prostředí, Příloha, bod 2.1.1, musí být instalace a zařízení vyrobeny, před uvedením do provozu odborně prověřeny, vyzkoušeny a provozovány tak, aby se nemohly stát zdrojem požáru nebo výbuchu.</w:t>
      </w:r>
    </w:p>
    <w:p w14:paraId="746294A7" w14:textId="77777777" w:rsidR="00CC5761" w:rsidRDefault="00CC5761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2D45004" w14:textId="77777777" w:rsidR="00CC5761" w:rsidRDefault="00CC5761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455F8AF6" w14:textId="77777777" w:rsidR="00CC5761" w:rsidRDefault="00CC5761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7713ED9A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269B580A" w14:textId="55392C28" w:rsidR="00C039FF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Požadavky na bezpečnost vyhrazených elektrických zařízení při jejich uvádění do provozu jsou stanoveny § 6 nařízení vlády č. 190/2022 Sb., o vyhrazených technických elektrických zařízeních a požadavcích na zajištění jejich bezpečnosti.</w:t>
      </w:r>
    </w:p>
    <w:p w14:paraId="334E3C40" w14:textId="77777777" w:rsidR="00C039FF" w:rsidRPr="006A7A5C" w:rsidRDefault="00C039FF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9E73894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ČSN 33 2000-1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2, čl. 134.2 musí být každé elektrické zařízení před tím, než je uvedeno do provozu, i po každé důležitější změně nebo rozšíření, prohlédnuto a přezkoušeno, aby se prověřila jeho správná funkce v souladu s požadavky norem.</w:t>
      </w:r>
    </w:p>
    <w:p w14:paraId="7730B2D6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6727209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ČSN 33 2000-6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2, čl. 6.4.1.1 musí být každá instalace, pokud je to prakticky možné, během své výstavby a/nebo po dokončení před tím, než je uvedena do provozu, revidována.</w:t>
      </w:r>
    </w:p>
    <w:p w14:paraId="00717376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0985CDAE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 ČSN 33 1310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2, čl. 7.5 + čl. 7.6 musí před uvedením elektrické instalace nebo její části do provozu (před předáním instalace nebo její části do užívání) osoba, která elektrickou instalaci zhotovila, nebo jí zmocněná osoba, provést poučení laiků o správném a bezpečném užívání elektrické instalace. Seznámení se správným a bezpečným užíváním elektrické instalace může provádět pouze osoba s příslušnou odbornou elektrotechnickou kvalifikací. Seznámení má být provedeno prokazatelnou formou s uvedením obsahu seznámení, datem a stvrzeným podpisy účastníků.</w:t>
      </w:r>
    </w:p>
    <w:p w14:paraId="7F2175E7" w14:textId="77777777" w:rsidR="006A29A8" w:rsidRPr="006A7A5C" w:rsidRDefault="006A29A8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D304381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Pevné elektrické instalace nebo jejich části určené pro používání laiky musí dle ČSN 33 1310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2, čl. 7.5 splňovat příslušné technické a bezpečnostní požadavky pro dané vlivy prostředí a způsob jejího používání, ověřené výchozí revizí, o níž je vyhotovena zpráva.</w:t>
      </w:r>
    </w:p>
    <w:p w14:paraId="59A63A65" w14:textId="77777777" w:rsidR="006A29A8" w:rsidRPr="006A7A5C" w:rsidRDefault="006A29A8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F9AAE03" w14:textId="77777777" w:rsidR="006A7A5C" w:rsidRP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Provozovatel (právnická či podnikající fyzická osoba provozující vyhrazená technická zařízení) dle zákona č. 250/2021 Sb., o bezpečnosti práce v souvislosti s provozem vyhrazených technických zařízení a o změně souvisejících zákonů zajistí, aby:</w:t>
      </w:r>
    </w:p>
    <w:p w14:paraId="1C129690" w14:textId="77777777" w:rsidR="006A7A5C" w:rsidRP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2 písm. a) uvedeného zákona při provozování vyhrazených technických zařízení byly provedeny bezpečnostní opatření, prohlídky, kontroly, revize a zkoušky;</w:t>
      </w:r>
    </w:p>
    <w:p w14:paraId="1026D454" w14:textId="77777777" w:rsidR="006A7A5C" w:rsidRP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2 písm. d) uvedeného zákona obsluhu vyhrazených technických zařízení vykonávaly jen fyzické osoby, které jsou odborně způsobilé, a ve stanovených případech byly též držiteli osvědčení o odborné způsobilosti k činnostem na vyhrazených technických zařízeních;</w:t>
      </w:r>
    </w:p>
    <w:p w14:paraId="3CAC4EF7" w14:textId="77777777" w:rsidR="006A7A5C" w:rsidRDefault="006A7A5C" w:rsidP="006A7A5C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dle § 20 odst. 3 uvedeného zákona bylo vyhrazené technické zařízení používáno pouze, pokud je vyloučen stav ohrožující bezpečnost práce a provozu; co je za stav ohrožující bezpečnost práce a provozu považováno je stanoveno v písm. a) až c) uvedeného odstavce.</w:t>
      </w:r>
    </w:p>
    <w:p w14:paraId="7DC16C4F" w14:textId="77777777" w:rsidR="006A29A8" w:rsidRPr="006A7A5C" w:rsidRDefault="006A29A8" w:rsidP="006A29A8">
      <w:pPr>
        <w:autoSpaceDE w:val="0"/>
        <w:autoSpaceDN w:val="0"/>
        <w:adjustRightInd w:val="0"/>
        <w:ind w:left="72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95E3944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Vyhrazená elektrická zařízení lze provozovat pouze za splnění požadavků § 7 a § 8 nařízení vlády č. 190/2022 Sb., o vyhrazených technických elektrických zařízeních a požadavcích na zajištění jejich bezpečnosti.</w:t>
      </w:r>
    </w:p>
    <w:p w14:paraId="3EB2EF30" w14:textId="77777777" w:rsidR="006A29A8" w:rsidRPr="006A7A5C" w:rsidRDefault="006A29A8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00E0FC2" w14:textId="1339EFA3" w:rsidR="00CC5761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U odběrných míst, připojených k distribuční soustavě, je zákazník dle § 28 odst. 2 zákona č. 458/2000 Sb., energetický zákon, ve znění pozdějších předpisů, povinen udržovat svá odběrná elektrická zařízení ve stavu, který odpovídá právním předpisům a technickým normám.</w:t>
      </w:r>
    </w:p>
    <w:p w14:paraId="328C14AA" w14:textId="77777777" w:rsidR="00CC5761" w:rsidRPr="006A7A5C" w:rsidRDefault="00CC5761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6EEEBE5C" w14:textId="30AAEFF3" w:rsidR="006A29A8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Požadavky na provádění pravidelných revizí se odvíjejí od požadavků ČSN 33 1500, či jiných závazných dokumentů (např. návody instalovaných výrobků, ze smluvních pojistných podmínek, z prohlášení </w:t>
      </w:r>
      <w:proofErr w:type="gram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vlastníka,</w:t>
      </w:r>
      <w:proofErr w:type="gram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apod.).</w:t>
      </w:r>
    </w:p>
    <w:p w14:paraId="01B8599D" w14:textId="77777777" w:rsidR="003D527E" w:rsidRPr="006A7A5C" w:rsidRDefault="003D527E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FFEF6E2" w14:textId="77777777" w:rsidR="006A7A5C" w:rsidRDefault="006A7A5C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Pro provoz, údržbu, obsluhu a práci na elektrických zařízeních platí požadavky všech v této dokumentaci jmenovaných předpisů a technických norem, z nich pak zejména požadavky ČSN EN 50110-1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3, ČSN EN 50110-2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3, ČSN 33 1500, ČSN 33 2000-6 </w:t>
      </w:r>
      <w:proofErr w:type="spellStart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ed</w:t>
      </w:r>
      <w:proofErr w:type="spellEnd"/>
      <w:r w:rsidRPr="006A7A5C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. 2 a dalších.</w:t>
      </w:r>
    </w:p>
    <w:p w14:paraId="6F998CBD" w14:textId="77777777" w:rsidR="006A29A8" w:rsidRPr="006A7A5C" w:rsidRDefault="006A29A8" w:rsidP="006A7A5C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52E7FF5" w14:textId="77777777" w:rsidR="006B4EB9" w:rsidRDefault="006B4EB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53EF9E90" w14:textId="33AD8AD3" w:rsidR="006B4EB9" w:rsidRPr="00831B34" w:rsidRDefault="001011D4" w:rsidP="00831B34">
      <w:pPr>
        <w:pStyle w:val="Nadpis2"/>
        <w:numPr>
          <w:ilvl w:val="1"/>
          <w:numId w:val="8"/>
        </w:numPr>
      </w:pPr>
      <w:bookmarkStart w:id="34" w:name="_Toc160524365"/>
      <w:r w:rsidRPr="00831B34">
        <w:lastRenderedPageBreak/>
        <w:t>Zásady ochrany zdraví a bezpečnosti práce, související předpisy</w:t>
      </w:r>
      <w:bookmarkEnd w:id="34"/>
    </w:p>
    <w:p w14:paraId="3962917B" w14:textId="77777777" w:rsidR="001011D4" w:rsidRPr="001011D4" w:rsidRDefault="001011D4" w:rsidP="001011D4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Cs w:val="24"/>
          <w:lang w:eastAsia="en-US"/>
        </w:rPr>
      </w:pPr>
    </w:p>
    <w:p w14:paraId="2902C750" w14:textId="77777777" w:rsidR="0074482F" w:rsidRDefault="0074482F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Bezpečnost a ochrana zdraví při práci musí být zajištěna příslušnými </w:t>
      </w:r>
      <w:proofErr w:type="spellStart"/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technicko-organizačními</w:t>
      </w:r>
      <w:proofErr w:type="spellEnd"/>
    </w:p>
    <w:p w14:paraId="6AA51037" w14:textId="2E6F56AC" w:rsidR="0074482F" w:rsidRDefault="0074482F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opatřeními a dodržováním souvisejících předpisů a norem. </w:t>
      </w:r>
      <w:r w:rsidR="006B4EB9"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Během elektroinstalačních prací a při</w:t>
      </w:r>
    </w:p>
    <w:p w14:paraId="596C0B1C" w14:textId="77777777" w:rsidR="0074482F" w:rsidRDefault="0074482F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spacing w:val="0"/>
          <w:sz w:val="22"/>
          <w:szCs w:val="22"/>
          <w:lang w:eastAsia="en-US"/>
        </w:rPr>
        <w:t>následném uvádění do provozu, provozu, obsluze a údržbě zařízení je nutno dodržovat zejména:</w:t>
      </w:r>
    </w:p>
    <w:p w14:paraId="005CBEA2" w14:textId="77777777" w:rsidR="006B4EB9" w:rsidRDefault="006B4EB9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p w14:paraId="334D9CF3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Komise (EU) č. 2019/2020, kterým se stanoví požadavky na ekodesign světelných zdrojů a samostatných předřadných přístrojů, ve znění pozdějších předpisů</w:t>
      </w:r>
    </w:p>
    <w:p w14:paraId="438AEFD1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Evropského parlamentu a Rady (EU) č. 305/2011, kterým se stanoví harmonizované podmínky pro uvádění stavebních výrobků na trh, ve znění pozdějších předpisů</w:t>
      </w:r>
    </w:p>
    <w:p w14:paraId="441F011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87/2023 Sb., o dozoru nad trhem s výrobky a o změně některých souvisejících zákonů (zákon o dozoru nad trhem s výrobky)</w:t>
      </w:r>
    </w:p>
    <w:p w14:paraId="747992DD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250/2021 Sb., o bezpečnosti práce v souvislosti s provozem vyhrazených technických zařízení a o změně souvisejících zákonů</w:t>
      </w:r>
    </w:p>
    <w:p w14:paraId="77041B5F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90/2016 Sb., o posuzování shody stanovených výrobků při jejich dodávání na trh, ve znění pozdějších předpisů</w:t>
      </w:r>
    </w:p>
    <w:p w14:paraId="739B0BB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262/2006 Sb., zákoník práce, ve znění pozdějších předpisů</w:t>
      </w:r>
    </w:p>
    <w:p w14:paraId="1E1D3D3B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309/2006 Sb., o zajištění dalších podmínek bezpečnosti a ochrany zdraví při práci, ve znění pozdějších předpisů</w:t>
      </w:r>
    </w:p>
    <w:p w14:paraId="62C2BA80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251/2005 Sb., o inspekci práce, ve znění pozdějších předpisů</w:t>
      </w:r>
    </w:p>
    <w:p w14:paraId="6379B7EF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458/2000 Sb., energetický zákon, ve znění pozdějších předpisů</w:t>
      </w:r>
    </w:p>
    <w:p w14:paraId="4F923A31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634/1992 Sb., o ochraně spotřebitele, ve znění pozdějších předpisů</w:t>
      </w:r>
    </w:p>
    <w:p w14:paraId="37CF58FF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zákon č. 133/1985 Sb., o požární ochraně, ve znění pozdějších předpisů</w:t>
      </w:r>
    </w:p>
    <w:p w14:paraId="2895F765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194/2022 Sb., o požadavcích na odbornou způsobilost k výkonu činnosti na elektrických zařízeních a na odbornou způsobilost v elektrotechnice</w:t>
      </w:r>
    </w:p>
    <w:p w14:paraId="1C409F7B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190/2022 Sb., o vyhrazených technických elektrických zařízeních a požadavcích na zajištění jejich bezpečnosti</w:t>
      </w:r>
    </w:p>
    <w:p w14:paraId="7632F797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375/2017 Sb., o vzhledu, umístění a provedení bezpečnostních značek a značení a zavedení signálů</w:t>
      </w:r>
    </w:p>
    <w:p w14:paraId="1C5147C1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117/2016 Sb., o posuzování shody výrobků z hlediska elektromagnetické kompatibility při jejich dodávání na trh, ve znění pozdějších předpisů</w:t>
      </w:r>
    </w:p>
    <w:p w14:paraId="753A802A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120/2016 Sb., o posuzování shody měřidel při jejich dodávání na trh, ve znění pozdějších předpisů</w:t>
      </w:r>
    </w:p>
    <w:p w14:paraId="6053CF48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118/2016 Sb., o posuzování shody elektrických zařízení určených pro používání v určitých mezích napětí při jejich dodávání na trh</w:t>
      </w:r>
    </w:p>
    <w:p w14:paraId="0A43D919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176/2008 Sb., o technických požadavcích na strojní zařízení, ve znění pozdějších předpisů</w:t>
      </w:r>
    </w:p>
    <w:p w14:paraId="67EC42AF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361/2007 Sb., kterým se stanoví podmínky ochrany zdraví při práci, ve znění pozdějších předpisů</w:t>
      </w:r>
    </w:p>
    <w:p w14:paraId="6DC7330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591/2006 Sb., o bližších minimálních požadavcích na bezpečnost a ochranu zdraví při práci na staveništích, ve znění pozdějších předpisů</w:t>
      </w:r>
    </w:p>
    <w:p w14:paraId="0DFD6C43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362/2005 Sb., o bližších požadavcích na bezpečnost a ochranu zdraví při práci na pracovištích s nebezpečím pádu z výšky nebo do hloubky</w:t>
      </w:r>
    </w:p>
    <w:p w14:paraId="4E2EFC3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101/2005 Sb., o podrobnějších požadavcích na pracoviště a pracovní prostředí</w:t>
      </w:r>
    </w:p>
    <w:p w14:paraId="7B8E9475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nařízení vlády č. 163/2002 Sb., kterým se stanoví technické požadavky na vybrané stavební výrobky, ve znění pozdějších předpisů</w:t>
      </w:r>
    </w:p>
    <w:p w14:paraId="27E23B79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193/2023 Sb., o stavu nouze v elektroenergetice a o obsahových náležitostech havarijního plánu</w:t>
      </w:r>
    </w:p>
    <w:p w14:paraId="2D106B3F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359/2020 Sb., o měření elektřiny</w:t>
      </w:r>
    </w:p>
    <w:p w14:paraId="69EF2501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516/2020 Sb., o požadavcích na pohonné hmoty a provedení některých dalších ustanovení zákona o pohonných hmotách, ve znění pozdějších předpisů</w:t>
      </w:r>
    </w:p>
    <w:p w14:paraId="166B7E64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264/2020 Sb., o energetické náročnosti budov, ve znění pozdějších předpisů</w:t>
      </w:r>
    </w:p>
    <w:p w14:paraId="34DC92CD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lastRenderedPageBreak/>
        <w:t>vyhlášku č. 319/2019 Sb., o energetickém štítkování a ekodesignu výrobků spojených se spotřebou energie</w:t>
      </w:r>
    </w:p>
    <w:p w14:paraId="0CF89F7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23/2008 Sb., o technických podmínkách požární ochrany staveb, ve znění pozdějších předpisů</w:t>
      </w:r>
    </w:p>
    <w:p w14:paraId="390A354E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246/2001 Sb., o stanovení podmínek požární bezpečnosti a výkonu státního požárního dozoru (vyhláška o požární prevenci), ve znění pozdějších předpisů</w:t>
      </w:r>
    </w:p>
    <w:p w14:paraId="57ABB718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38/2001 Sb., o hygienických požadavcích na výrobky určené pro styk s potravinami a pokrmy, ve znění pozdějších předpisů</w:t>
      </w:r>
    </w:p>
    <w:p w14:paraId="719BF1AD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202/1999 Sb., kterou se stanoví technické podmínky požárních dveří, kouřotěsných dveří a kouřotěsných požárních dveří</w:t>
      </w:r>
    </w:p>
    <w:p w14:paraId="06937183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vyhlášku č. 48/1982 Sb., kterou se stanoví základní požadavky k zajištění bezpečnosti práce a technických zařízení, ve znění pozdějších předpisů</w:t>
      </w:r>
    </w:p>
    <w:p w14:paraId="61766536" w14:textId="77777777" w:rsidR="006A7A5C" w:rsidRPr="006A7A5C" w:rsidRDefault="006A7A5C" w:rsidP="006A7A5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  <w:r w:rsidRPr="006A7A5C">
        <w:rPr>
          <w:rFonts w:ascii="Calibri" w:eastAsia="SymbolMT" w:hAnsi="Calibri" w:cs="Calibri"/>
          <w:sz w:val="22"/>
          <w:szCs w:val="22"/>
          <w:lang w:eastAsia="en-US"/>
        </w:rPr>
        <w:t>předpisy k zajištění bezpečnosti a ochrany zdraví při práci zhotovitele a provozovatele</w:t>
      </w:r>
    </w:p>
    <w:p w14:paraId="4EF03515" w14:textId="77777777" w:rsidR="006A7A5C" w:rsidRPr="001011D4" w:rsidRDefault="006A7A5C" w:rsidP="006A7A5C">
      <w:pPr>
        <w:pStyle w:val="Odstavecseseznamem"/>
        <w:autoSpaceDE w:val="0"/>
        <w:autoSpaceDN w:val="0"/>
        <w:adjustRightInd w:val="0"/>
        <w:rPr>
          <w:rFonts w:ascii="Calibri" w:eastAsia="SymbolMT" w:hAnsi="Calibri" w:cs="Calibri"/>
          <w:sz w:val="22"/>
          <w:szCs w:val="22"/>
          <w:lang w:eastAsia="en-US"/>
        </w:rPr>
      </w:pPr>
    </w:p>
    <w:p w14:paraId="0109FE88" w14:textId="77777777" w:rsidR="006B4EB9" w:rsidRDefault="006B4EB9" w:rsidP="0074482F">
      <w:pPr>
        <w:autoSpaceDE w:val="0"/>
        <w:autoSpaceDN w:val="0"/>
        <w:adjustRightInd w:val="0"/>
        <w:jc w:val="left"/>
        <w:rPr>
          <w:rFonts w:ascii="Calibri" w:eastAsia="SymbolMT" w:hAnsi="Calibri" w:cs="Calibri"/>
          <w:spacing w:val="0"/>
          <w:sz w:val="22"/>
          <w:szCs w:val="22"/>
          <w:lang w:eastAsia="en-US"/>
        </w:rPr>
      </w:pPr>
    </w:p>
    <w:p w14:paraId="2E6A86C0" w14:textId="11FA4389" w:rsidR="0074482F" w:rsidRPr="00831B34" w:rsidRDefault="001011D4" w:rsidP="00831B34">
      <w:pPr>
        <w:pStyle w:val="Nadpis2"/>
        <w:numPr>
          <w:ilvl w:val="1"/>
          <w:numId w:val="8"/>
        </w:numPr>
      </w:pPr>
      <w:bookmarkStart w:id="35" w:name="_Toc160524366"/>
      <w:r w:rsidRPr="00831B34">
        <w:t>Zásady ochrany životního prostředí</w:t>
      </w:r>
      <w:bookmarkEnd w:id="35"/>
    </w:p>
    <w:p w14:paraId="77766B4A" w14:textId="77777777" w:rsidR="006B4EB9" w:rsidRPr="006B4EB9" w:rsidRDefault="006B4EB9" w:rsidP="006B4EB9">
      <w:pPr>
        <w:pStyle w:val="Odstavecseseznamem"/>
        <w:autoSpaceDE w:val="0"/>
        <w:autoSpaceDN w:val="0"/>
        <w:adjustRightInd w:val="0"/>
        <w:ind w:left="1080"/>
        <w:rPr>
          <w:rFonts w:ascii="Calibri" w:eastAsia="SymbolMT" w:hAnsi="Calibri" w:cs="Calibri"/>
          <w:b/>
          <w:bCs/>
          <w:szCs w:val="24"/>
          <w:lang w:eastAsia="en-US"/>
        </w:rPr>
      </w:pPr>
    </w:p>
    <w:p w14:paraId="335CDA58" w14:textId="3E2681FD" w:rsidR="0074482F" w:rsidRDefault="0074482F" w:rsidP="0074482F">
      <w:pPr>
        <w:autoSpaceDE w:val="0"/>
        <w:autoSpaceDN w:val="0"/>
        <w:adjustRightInd w:val="0"/>
        <w:jc w:val="left"/>
        <w:rPr>
          <w:rFonts w:ascii="Calibri" w:eastAsia="SymbolMT" w:hAnsi="Calibri" w:cs="Calibri"/>
          <w:spacing w:val="0"/>
          <w:sz w:val="22"/>
          <w:szCs w:val="22"/>
          <w:lang w:eastAsia="en-US"/>
        </w:rPr>
      </w:pPr>
      <w:r>
        <w:rPr>
          <w:rFonts w:ascii="Calibri" w:eastAsia="SymbolMT" w:hAnsi="Calibri" w:cs="Calibri"/>
          <w:spacing w:val="0"/>
          <w:sz w:val="22"/>
          <w:szCs w:val="22"/>
          <w:lang w:eastAsia="en-US"/>
        </w:rPr>
        <w:t>Elektroinstalace jsou navrženy tak, aby neohrožovaly životní prostředí. Během elektroinstalačních prací</w:t>
      </w:r>
      <w:r w:rsidR="006B4EB9">
        <w:rPr>
          <w:rFonts w:ascii="Calibri" w:eastAsia="SymbolMT" w:hAnsi="Calibri" w:cs="Calibri"/>
          <w:spacing w:val="0"/>
          <w:sz w:val="22"/>
          <w:szCs w:val="22"/>
          <w:lang w:eastAsia="en-US"/>
        </w:rPr>
        <w:t xml:space="preserve"> </w:t>
      </w:r>
      <w:r>
        <w:rPr>
          <w:rFonts w:ascii="Calibri" w:eastAsia="SymbolMT" w:hAnsi="Calibri" w:cs="Calibri"/>
          <w:spacing w:val="0"/>
          <w:sz w:val="22"/>
          <w:szCs w:val="22"/>
          <w:lang w:eastAsia="en-US"/>
        </w:rPr>
        <w:t>a při následném provozu, obsluze a údržbě zařízení je nutno dodržovat zejména:</w:t>
      </w:r>
    </w:p>
    <w:p w14:paraId="10511DA3" w14:textId="77777777" w:rsidR="001011D4" w:rsidRDefault="001011D4" w:rsidP="0074482F">
      <w:pPr>
        <w:autoSpaceDE w:val="0"/>
        <w:autoSpaceDN w:val="0"/>
        <w:adjustRightInd w:val="0"/>
        <w:jc w:val="left"/>
        <w:rPr>
          <w:rFonts w:ascii="Calibri" w:eastAsia="SymbolMT" w:hAnsi="Calibri" w:cs="Calibri"/>
          <w:spacing w:val="0"/>
          <w:sz w:val="22"/>
          <w:szCs w:val="22"/>
          <w:lang w:eastAsia="en-US"/>
        </w:rPr>
      </w:pPr>
    </w:p>
    <w:p w14:paraId="1B7BA86A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541/2020 Sb., o odpadech, ve znění pozdějších předpisů</w:t>
      </w:r>
    </w:p>
    <w:p w14:paraId="71F8BB21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542/2020 Sb., o výrobcích s ukončenou životností, ve znění pozdějších předpisů</w:t>
      </w:r>
    </w:p>
    <w:p w14:paraId="6E2FCBE9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201/2012 Sb., o ochraně ovzduší, ve znění pozdějších předpisů</w:t>
      </w:r>
    </w:p>
    <w:p w14:paraId="3AAE8B47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167/2008 Sb., o předcházení ekologické újmě a o její nápravě a o změně některých zákonů, ve znění pozdějších předpisů</w:t>
      </w:r>
    </w:p>
    <w:p w14:paraId="5521F058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477/2001 Sb., o obalech, ve znění pozdějších předpisů</w:t>
      </w:r>
    </w:p>
    <w:p w14:paraId="120E39BC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406/2000 Sb., o hospodaření energií, ve znění pozdějších předpisů</w:t>
      </w:r>
    </w:p>
    <w:p w14:paraId="46C9AC00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zákon č. 17/1992 Sb., o životním prostředí, ve znění pozdějších předpisů</w:t>
      </w:r>
    </w:p>
    <w:p w14:paraId="41D85983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vyhlášku č. 16/2022 Sb., o podrobnostech nakládání s některými výrobky s ukončenou životností, ve znění pozdějších předpisů</w:t>
      </w:r>
    </w:p>
    <w:p w14:paraId="23EEC471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vyhlášku č. 273/2021 Sb., o podrobnostech nakládání s odpady, ve znění pozdějších předpisů</w:t>
      </w:r>
    </w:p>
    <w:p w14:paraId="19F2F254" w14:textId="77777777" w:rsidR="006A7A5C" w:rsidRPr="006A7A5C" w:rsidRDefault="006A7A5C" w:rsidP="006A7A5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6A7A5C">
        <w:rPr>
          <w:rFonts w:ascii="Calibri" w:eastAsiaTheme="minorHAnsi" w:hAnsi="Calibri" w:cs="Calibri"/>
          <w:sz w:val="22"/>
          <w:szCs w:val="22"/>
          <w:lang w:eastAsia="en-US"/>
        </w:rPr>
        <w:t>vyhlášku č. 8/2021 Sb., o Katalogu odpadů a posuzování vlastností odpadů (Katalog odpadů), ve znění pozdějších předpisů</w:t>
      </w:r>
    </w:p>
    <w:p w14:paraId="6CE817BF" w14:textId="77777777" w:rsidR="006A7A5C" w:rsidRPr="001011D4" w:rsidRDefault="006A7A5C" w:rsidP="006A7A5C">
      <w:pPr>
        <w:pStyle w:val="Odstavecseseznamem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AE21EA1" w14:textId="77777777" w:rsidR="0074482F" w:rsidRDefault="0074482F" w:rsidP="0074482F">
      <w:pPr>
        <w:autoSpaceDE w:val="0"/>
        <w:autoSpaceDN w:val="0"/>
        <w:adjustRightInd w:val="0"/>
        <w:jc w:val="left"/>
        <w:rPr>
          <w:rFonts w:ascii="Calibri" w:eastAsiaTheme="minorHAnsi" w:hAnsi="Calibri" w:cs="Calibri"/>
          <w:spacing w:val="0"/>
          <w:sz w:val="22"/>
          <w:szCs w:val="22"/>
          <w:lang w:eastAsia="en-US"/>
        </w:rPr>
      </w:pPr>
    </w:p>
    <w:sectPr w:rsidR="0074482F" w:rsidSect="00C420C7">
      <w:headerReference w:type="default" r:id="rId8"/>
      <w:footerReference w:type="default" r:id="rId9"/>
      <w:pgSz w:w="11906" w:h="16838" w:code="9"/>
      <w:pgMar w:top="851" w:right="1418" w:bottom="567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48072" w14:textId="77777777" w:rsidR="00DD6D37" w:rsidRDefault="00DD6D37" w:rsidP="00710B2E">
      <w:r>
        <w:separator/>
      </w:r>
    </w:p>
  </w:endnote>
  <w:endnote w:type="continuationSeparator" w:id="0">
    <w:p w14:paraId="3B8C553D" w14:textId="77777777" w:rsidR="00DD6D37" w:rsidRDefault="00DD6D37" w:rsidP="0071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44D1" w14:textId="77777777" w:rsidR="002F221D" w:rsidRDefault="002F221D" w:rsidP="00D41047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8937F2">
      <w:rPr>
        <w:rStyle w:val="slostrnky"/>
        <w:rFonts w:ascii="Arial" w:hAnsi="Arial" w:cs="Arial"/>
        <w:noProof/>
      </w:rPr>
      <w:t>4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>/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8937F2">
      <w:rPr>
        <w:rStyle w:val="slostrnky"/>
        <w:rFonts w:ascii="Arial" w:hAnsi="Arial" w:cs="Arial"/>
        <w:noProof/>
      </w:rPr>
      <w:t>16</w:t>
    </w:r>
    <w:r>
      <w:rPr>
        <w:rStyle w:val="slostrnky"/>
        <w:rFonts w:ascii="Arial" w:hAnsi="Arial" w:cs="Arial"/>
      </w:rPr>
      <w:fldChar w:fldCharType="end"/>
    </w:r>
  </w:p>
  <w:p w14:paraId="08BAE623" w14:textId="77777777" w:rsidR="002F221D" w:rsidRDefault="002F221D">
    <w:pPr>
      <w:pStyle w:val="Zpat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2FEFE" w14:textId="77777777" w:rsidR="00DD6D37" w:rsidRDefault="00DD6D37" w:rsidP="00710B2E">
      <w:r>
        <w:separator/>
      </w:r>
    </w:p>
  </w:footnote>
  <w:footnote w:type="continuationSeparator" w:id="0">
    <w:p w14:paraId="4697A69F" w14:textId="77777777" w:rsidR="00DD6D37" w:rsidRDefault="00DD6D37" w:rsidP="0071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28E7A" w14:textId="7D80B41C" w:rsidR="002F221D" w:rsidRPr="00F3151B" w:rsidRDefault="002F221D" w:rsidP="00385A47">
    <w:pPr>
      <w:pStyle w:val="Zhlav"/>
      <w:tabs>
        <w:tab w:val="clear" w:pos="4536"/>
        <w:tab w:val="clear" w:pos="9072"/>
        <w:tab w:val="right" w:pos="9070"/>
      </w:tabs>
      <w:ind w:left="-993"/>
      <w:rPr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7875BAA" wp14:editId="64D16B55">
              <wp:simplePos x="0" y="0"/>
              <wp:positionH relativeFrom="column">
                <wp:posOffset>852805</wp:posOffset>
              </wp:positionH>
              <wp:positionV relativeFrom="paragraph">
                <wp:posOffset>105410</wp:posOffset>
              </wp:positionV>
              <wp:extent cx="4105275" cy="628650"/>
              <wp:effectExtent l="0" t="0" r="28575" b="1905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52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70526" w14:textId="77431070" w:rsidR="002F221D" w:rsidRPr="002C2A5E" w:rsidRDefault="00AE56B2" w:rsidP="00CB4203">
                          <w:pPr>
                            <w:ind w:right="-94" w:firstLine="142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AE56B2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Venkovní osvětlení areálu Silnice LK a.s.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, </w:t>
                          </w:r>
                          <w:proofErr w:type="spellStart"/>
                          <w:r w:rsidRPr="00AE56B2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par.č</w:t>
                          </w:r>
                          <w:proofErr w:type="spellEnd"/>
                          <w:r w:rsidRPr="00AE56B2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 1580/3, 1585, 1590/4, 1590/6, 1596/1 a 1598/2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, </w:t>
                          </w:r>
                          <w:r w:rsidRPr="00AE56B2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Nová Ves nad Nisou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75BA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67.15pt;margin-top:8.3pt;width:323.25pt;height:4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" strokecolor="white [3212]">
              <v:textbox>
                <w:txbxContent>
                  <w:p w14:paraId="01F70526" w14:textId="77431070" w:rsidR="002F221D" w:rsidRPr="002C2A5E" w:rsidRDefault="00AE56B2" w:rsidP="00CB4203">
                    <w:pPr>
                      <w:ind w:right="-94" w:firstLine="142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E56B2">
                      <w:rPr>
                        <w:rFonts w:ascii="Times New Roman" w:hAnsi="Times New Roman"/>
                        <w:sz w:val="24"/>
                        <w:szCs w:val="24"/>
                      </w:rPr>
                      <w:t>Venkovní osvětlení areálu Silnice LK a.s.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 w:rsidRPr="00AE56B2">
                      <w:rPr>
                        <w:rFonts w:ascii="Times New Roman" w:hAnsi="Times New Roman"/>
                        <w:sz w:val="24"/>
                        <w:szCs w:val="24"/>
                      </w:rPr>
                      <w:t>par.č</w:t>
                    </w:r>
                    <w:proofErr w:type="spellEnd"/>
                    <w:r w:rsidRPr="00AE56B2">
                      <w:rPr>
                        <w:rFonts w:ascii="Times New Roman" w:hAnsi="Times New Roman"/>
                        <w:sz w:val="24"/>
                        <w:szCs w:val="24"/>
                      </w:rPr>
                      <w:t>. 1580/3, 1585, 1590/4, 1590/6, 1596/1 a 1598/2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AE56B2">
                      <w:rPr>
                        <w:rFonts w:ascii="Times New Roman" w:hAnsi="Times New Roman"/>
                        <w:sz w:val="24"/>
                        <w:szCs w:val="24"/>
                      </w:rPr>
                      <w:t>Nová Ves nad Nisou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3DD4482" wp14:editId="2A99EF84">
              <wp:simplePos x="0" y="0"/>
              <wp:positionH relativeFrom="column">
                <wp:posOffset>4967605</wp:posOffset>
              </wp:positionH>
              <wp:positionV relativeFrom="paragraph">
                <wp:posOffset>66675</wp:posOffset>
              </wp:positionV>
              <wp:extent cx="1508125" cy="657225"/>
              <wp:effectExtent l="0" t="0" r="15875" b="28575"/>
              <wp:wrapSquare wrapText="bothSides"/>
              <wp:docPr id="19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8125" cy="657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F5B6A5" w14:textId="77777777" w:rsidR="002F221D" w:rsidRPr="006D4936" w:rsidRDefault="002F221D" w:rsidP="00BA55B9">
                          <w:pPr>
                            <w:rPr>
                              <w:color w:val="808080" w:themeColor="background1" w:themeShade="80"/>
                            </w:rPr>
                          </w:pPr>
                          <w:r w:rsidRPr="006D4936">
                            <w:rPr>
                              <w:color w:val="808080" w:themeColor="background1" w:themeShade="80"/>
                            </w:rPr>
                            <w:t>autorizovaný partner</w:t>
                          </w:r>
                        </w:p>
                        <w:p w14:paraId="4B6CC63C" w14:textId="77777777" w:rsidR="002F221D" w:rsidRDefault="002F221D" w:rsidP="00BA55B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68BA47D" wp14:editId="463238D6">
                                <wp:extent cx="1101852" cy="219456"/>
                                <wp:effectExtent l="0" t="0" r="3175" b="9525"/>
                                <wp:docPr id="5" name="Obráze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TapHome Logo 2.ai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01852" cy="21945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6FDD406" w14:textId="77777777" w:rsidR="002F221D" w:rsidRPr="00B76C5E" w:rsidRDefault="002F221D" w:rsidP="00BA55B9">
                          <w:pPr>
                            <w:rPr>
                              <w:color w:val="00B0F0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Simplify</w:t>
                          </w:r>
                          <w:proofErr w:type="spellEnd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control</w:t>
                          </w:r>
                          <w:proofErr w:type="spellEnd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of</w:t>
                          </w:r>
                          <w:proofErr w:type="spellEnd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your</w:t>
                          </w:r>
                          <w:proofErr w:type="spellEnd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home</w:t>
                          </w:r>
                          <w:proofErr w:type="spellEnd"/>
                          <w:r w:rsidRPr="00B76C5E">
                            <w:rPr>
                              <w:rFonts w:ascii="MyriadPro-Light" w:hAnsi="MyriadPro-Light" w:cs="MyriadPro-Light"/>
                              <w:color w:val="00B0F0"/>
                              <w:sz w:val="14"/>
                              <w:szCs w:val="14"/>
                            </w:rPr>
                            <w:t>!</w:t>
                          </w:r>
                        </w:p>
                        <w:p w14:paraId="72BBB70E" w14:textId="77777777" w:rsidR="002F221D" w:rsidRDefault="002F221D" w:rsidP="00710B2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DD4482" id="_x0000_s1027" type="#_x0000_t202" style="position:absolute;left:0;text-align:left;margin-left:391.15pt;margin-top:5.25pt;width:118.75pt;height:5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" strokecolor="white [3212]">
              <v:textbox>
                <w:txbxContent>
                  <w:p w14:paraId="76F5B6A5" w14:textId="77777777" w:rsidR="002F221D" w:rsidRPr="006D4936" w:rsidRDefault="002F221D" w:rsidP="00BA55B9">
                    <w:pPr>
                      <w:rPr>
                        <w:color w:val="808080" w:themeColor="background1" w:themeShade="80"/>
                      </w:rPr>
                    </w:pPr>
                    <w:r w:rsidRPr="006D4936">
                      <w:rPr>
                        <w:color w:val="808080" w:themeColor="background1" w:themeShade="80"/>
                      </w:rPr>
                      <w:t>autorizovaný partner</w:t>
                    </w:r>
                  </w:p>
                  <w:p w14:paraId="4B6CC63C" w14:textId="77777777" w:rsidR="002F221D" w:rsidRDefault="002F221D" w:rsidP="00BA55B9">
                    <w:r>
                      <w:rPr>
                        <w:noProof/>
                      </w:rPr>
                      <w:drawing>
                        <wp:inline distT="0" distB="0" distL="0" distR="0" wp14:anchorId="568BA47D" wp14:editId="463238D6">
                          <wp:extent cx="1101852" cy="219456"/>
                          <wp:effectExtent l="0" t="0" r="3175" b="9525"/>
                          <wp:docPr id="5" name="Obráze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TapHome Logo 2.ai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1852" cy="21945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6FDD406" w14:textId="77777777" w:rsidR="002F221D" w:rsidRPr="00B76C5E" w:rsidRDefault="002F221D" w:rsidP="00BA55B9">
                    <w:pPr>
                      <w:rPr>
                        <w:color w:val="00B0F0"/>
                        <w:sz w:val="14"/>
                        <w:szCs w:val="14"/>
                      </w:rPr>
                    </w:pPr>
                    <w:proofErr w:type="spellStart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Simplify</w:t>
                    </w:r>
                    <w:proofErr w:type="spellEnd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control</w:t>
                    </w:r>
                    <w:proofErr w:type="spellEnd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of</w:t>
                    </w:r>
                    <w:proofErr w:type="spellEnd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your</w:t>
                    </w:r>
                    <w:proofErr w:type="spellEnd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home</w:t>
                    </w:r>
                    <w:proofErr w:type="spellEnd"/>
                    <w:r w:rsidRPr="00B76C5E">
                      <w:rPr>
                        <w:rFonts w:ascii="MyriadPro-Light" w:hAnsi="MyriadPro-Light" w:cs="MyriadPro-Light"/>
                        <w:color w:val="00B0F0"/>
                        <w:sz w:val="14"/>
                        <w:szCs w:val="14"/>
                      </w:rPr>
                      <w:t>!</w:t>
                    </w:r>
                  </w:p>
                  <w:p w14:paraId="72BBB70E" w14:textId="77777777" w:rsidR="002F221D" w:rsidRDefault="002F221D" w:rsidP="00710B2E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cs-CZ"/>
      </w:rPr>
      <w:drawing>
        <wp:inline distT="0" distB="0" distL="0" distR="0" wp14:anchorId="6E866EF2" wp14:editId="365B2B82">
          <wp:extent cx="1120975" cy="756285"/>
          <wp:effectExtent l="0" t="0" r="3175" b="5715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ba nové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634" cy="930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43F5"/>
    <w:multiLevelType w:val="multilevel"/>
    <w:tmpl w:val="4E80EEC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215AF4"/>
    <w:multiLevelType w:val="hybridMultilevel"/>
    <w:tmpl w:val="4E0A62D4"/>
    <w:lvl w:ilvl="0" w:tplc="3FB8EC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52E3"/>
    <w:multiLevelType w:val="hybridMultilevel"/>
    <w:tmpl w:val="09823314"/>
    <w:lvl w:ilvl="0" w:tplc="3FB8EC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A6673"/>
    <w:multiLevelType w:val="multilevel"/>
    <w:tmpl w:val="2868A71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C62285"/>
    <w:multiLevelType w:val="hybridMultilevel"/>
    <w:tmpl w:val="1A60458C"/>
    <w:lvl w:ilvl="0" w:tplc="3FB8EC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05BEF"/>
    <w:multiLevelType w:val="multilevel"/>
    <w:tmpl w:val="28BC1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A822DE"/>
    <w:multiLevelType w:val="hybridMultilevel"/>
    <w:tmpl w:val="28B618B0"/>
    <w:lvl w:ilvl="0" w:tplc="5D2CE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13C92"/>
    <w:multiLevelType w:val="hybridMultilevel"/>
    <w:tmpl w:val="63D2EAF8"/>
    <w:lvl w:ilvl="0" w:tplc="3FB8EC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B3D1E"/>
    <w:multiLevelType w:val="multilevel"/>
    <w:tmpl w:val="4C2C9C4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1D95C99"/>
    <w:multiLevelType w:val="hybridMultilevel"/>
    <w:tmpl w:val="3C04D6D0"/>
    <w:lvl w:ilvl="0" w:tplc="3FB8EC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AC7C98E2">
      <w:numFmt w:val="bullet"/>
      <w:lvlText w:val=""/>
      <w:lvlJc w:val="left"/>
      <w:pPr>
        <w:ind w:left="1440" w:hanging="360"/>
      </w:pPr>
      <w:rPr>
        <w:rFonts w:ascii="SymbolMT" w:eastAsia="SymbolMT" w:hAnsi="Calibri" w:cs="SymbolMT" w:hint="eastAsia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85185729">
    <w:abstractNumId w:val="10"/>
  </w:num>
  <w:num w:numId="2" w16cid:durableId="686559980">
    <w:abstractNumId w:val="4"/>
  </w:num>
  <w:num w:numId="3" w16cid:durableId="1360087574">
    <w:abstractNumId w:val="9"/>
  </w:num>
  <w:num w:numId="4" w16cid:durableId="1559169161">
    <w:abstractNumId w:val="7"/>
  </w:num>
  <w:num w:numId="5" w16cid:durableId="1078211809">
    <w:abstractNumId w:val="1"/>
  </w:num>
  <w:num w:numId="6" w16cid:durableId="1353846699">
    <w:abstractNumId w:val="2"/>
  </w:num>
  <w:num w:numId="7" w16cid:durableId="462694977">
    <w:abstractNumId w:val="8"/>
  </w:num>
  <w:num w:numId="8" w16cid:durableId="1917082478">
    <w:abstractNumId w:val="0"/>
  </w:num>
  <w:num w:numId="9" w16cid:durableId="1174804063">
    <w:abstractNumId w:val="11"/>
  </w:num>
  <w:num w:numId="10" w16cid:durableId="1255942374">
    <w:abstractNumId w:val="8"/>
  </w:num>
  <w:num w:numId="11" w16cid:durableId="643851730">
    <w:abstractNumId w:val="5"/>
  </w:num>
  <w:num w:numId="12" w16cid:durableId="1690252195">
    <w:abstractNumId w:val="8"/>
  </w:num>
  <w:num w:numId="13" w16cid:durableId="1017661288">
    <w:abstractNumId w:val="8"/>
  </w:num>
  <w:num w:numId="14" w16cid:durableId="422992245">
    <w:abstractNumId w:val="6"/>
  </w:num>
  <w:num w:numId="15" w16cid:durableId="984047184">
    <w:abstractNumId w:val="8"/>
  </w:num>
  <w:num w:numId="16" w16cid:durableId="1878933848">
    <w:abstractNumId w:val="3"/>
  </w:num>
  <w:num w:numId="17" w16cid:durableId="207036732">
    <w:abstractNumId w:val="8"/>
  </w:num>
  <w:num w:numId="18" w16cid:durableId="649403502">
    <w:abstractNumId w:val="8"/>
  </w:num>
  <w:num w:numId="19" w16cid:durableId="1939831385">
    <w:abstractNumId w:val="8"/>
  </w:num>
  <w:num w:numId="20" w16cid:durableId="159169335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2E"/>
    <w:rsid w:val="00002A39"/>
    <w:rsid w:val="00024594"/>
    <w:rsid w:val="00031DFF"/>
    <w:rsid w:val="0004369C"/>
    <w:rsid w:val="000436DE"/>
    <w:rsid w:val="000445A6"/>
    <w:rsid w:val="00056049"/>
    <w:rsid w:val="00075563"/>
    <w:rsid w:val="000833D8"/>
    <w:rsid w:val="00094266"/>
    <w:rsid w:val="00094754"/>
    <w:rsid w:val="000965EE"/>
    <w:rsid w:val="000A2624"/>
    <w:rsid w:val="000A285D"/>
    <w:rsid w:val="000A32E2"/>
    <w:rsid w:val="000A4F34"/>
    <w:rsid w:val="000A7A39"/>
    <w:rsid w:val="000C7664"/>
    <w:rsid w:val="000D757D"/>
    <w:rsid w:val="001011D4"/>
    <w:rsid w:val="00103E49"/>
    <w:rsid w:val="001209C1"/>
    <w:rsid w:val="00132752"/>
    <w:rsid w:val="001329C5"/>
    <w:rsid w:val="00136C62"/>
    <w:rsid w:val="00147F3B"/>
    <w:rsid w:val="001541B5"/>
    <w:rsid w:val="00162968"/>
    <w:rsid w:val="00163233"/>
    <w:rsid w:val="001771E0"/>
    <w:rsid w:val="00187467"/>
    <w:rsid w:val="00194273"/>
    <w:rsid w:val="001A5EB6"/>
    <w:rsid w:val="001B23D3"/>
    <w:rsid w:val="001D7F40"/>
    <w:rsid w:val="001F5309"/>
    <w:rsid w:val="001F77D8"/>
    <w:rsid w:val="00211E0B"/>
    <w:rsid w:val="002232A9"/>
    <w:rsid w:val="00225F8F"/>
    <w:rsid w:val="002332F3"/>
    <w:rsid w:val="002410A5"/>
    <w:rsid w:val="002669C1"/>
    <w:rsid w:val="00287D1B"/>
    <w:rsid w:val="00287D52"/>
    <w:rsid w:val="00292EDC"/>
    <w:rsid w:val="002936FF"/>
    <w:rsid w:val="002A03C4"/>
    <w:rsid w:val="002A1A2F"/>
    <w:rsid w:val="002A439F"/>
    <w:rsid w:val="002B1A79"/>
    <w:rsid w:val="002B1C78"/>
    <w:rsid w:val="002B1E39"/>
    <w:rsid w:val="002C2A5E"/>
    <w:rsid w:val="002C7F2E"/>
    <w:rsid w:val="002D3FA8"/>
    <w:rsid w:val="002E4B7F"/>
    <w:rsid w:val="002E5F4D"/>
    <w:rsid w:val="002F221D"/>
    <w:rsid w:val="002F6B6D"/>
    <w:rsid w:val="002F785C"/>
    <w:rsid w:val="003264D7"/>
    <w:rsid w:val="00327871"/>
    <w:rsid w:val="0033354A"/>
    <w:rsid w:val="00350A56"/>
    <w:rsid w:val="00353C8E"/>
    <w:rsid w:val="00374AA0"/>
    <w:rsid w:val="00374EB9"/>
    <w:rsid w:val="00385A47"/>
    <w:rsid w:val="003C0303"/>
    <w:rsid w:val="003D527E"/>
    <w:rsid w:val="003E0439"/>
    <w:rsid w:val="003E05A3"/>
    <w:rsid w:val="003E45EF"/>
    <w:rsid w:val="004019A7"/>
    <w:rsid w:val="00407926"/>
    <w:rsid w:val="004119E3"/>
    <w:rsid w:val="00412F8A"/>
    <w:rsid w:val="0042044D"/>
    <w:rsid w:val="004253C7"/>
    <w:rsid w:val="00432AFB"/>
    <w:rsid w:val="004618DD"/>
    <w:rsid w:val="004643EF"/>
    <w:rsid w:val="00475C63"/>
    <w:rsid w:val="00475D51"/>
    <w:rsid w:val="004841C1"/>
    <w:rsid w:val="0049542D"/>
    <w:rsid w:val="004B2D93"/>
    <w:rsid w:val="004B6102"/>
    <w:rsid w:val="004E2B98"/>
    <w:rsid w:val="004E41EF"/>
    <w:rsid w:val="004E5A52"/>
    <w:rsid w:val="004E68DD"/>
    <w:rsid w:val="004F1C04"/>
    <w:rsid w:val="005010AF"/>
    <w:rsid w:val="00501334"/>
    <w:rsid w:val="00502559"/>
    <w:rsid w:val="00511761"/>
    <w:rsid w:val="00522CF1"/>
    <w:rsid w:val="00524784"/>
    <w:rsid w:val="0052691F"/>
    <w:rsid w:val="00530BBA"/>
    <w:rsid w:val="00537FDC"/>
    <w:rsid w:val="0054067A"/>
    <w:rsid w:val="005546A9"/>
    <w:rsid w:val="00555FB8"/>
    <w:rsid w:val="005575A0"/>
    <w:rsid w:val="00577847"/>
    <w:rsid w:val="005B5D3F"/>
    <w:rsid w:val="005C58DD"/>
    <w:rsid w:val="005D068F"/>
    <w:rsid w:val="005F37A2"/>
    <w:rsid w:val="0060682C"/>
    <w:rsid w:val="006230AF"/>
    <w:rsid w:val="006337AB"/>
    <w:rsid w:val="006579AE"/>
    <w:rsid w:val="00675FF2"/>
    <w:rsid w:val="006A29A8"/>
    <w:rsid w:val="006A73AE"/>
    <w:rsid w:val="006A7A5C"/>
    <w:rsid w:val="006B4EB9"/>
    <w:rsid w:val="006F1339"/>
    <w:rsid w:val="006F411E"/>
    <w:rsid w:val="006F54E3"/>
    <w:rsid w:val="00710B2E"/>
    <w:rsid w:val="007328E3"/>
    <w:rsid w:val="007372BE"/>
    <w:rsid w:val="0074482F"/>
    <w:rsid w:val="00745CA8"/>
    <w:rsid w:val="007754BC"/>
    <w:rsid w:val="00777894"/>
    <w:rsid w:val="00786D82"/>
    <w:rsid w:val="007B0E38"/>
    <w:rsid w:val="007C0D1C"/>
    <w:rsid w:val="00806143"/>
    <w:rsid w:val="008160EB"/>
    <w:rsid w:val="00825219"/>
    <w:rsid w:val="00831B34"/>
    <w:rsid w:val="008453CC"/>
    <w:rsid w:val="00860B58"/>
    <w:rsid w:val="00876740"/>
    <w:rsid w:val="00882803"/>
    <w:rsid w:val="00892A84"/>
    <w:rsid w:val="008937F2"/>
    <w:rsid w:val="008A3D2D"/>
    <w:rsid w:val="008C0043"/>
    <w:rsid w:val="008D1F9F"/>
    <w:rsid w:val="008D61E6"/>
    <w:rsid w:val="008E71D0"/>
    <w:rsid w:val="008F380F"/>
    <w:rsid w:val="008F75B1"/>
    <w:rsid w:val="00910DCA"/>
    <w:rsid w:val="0091248F"/>
    <w:rsid w:val="00915AAB"/>
    <w:rsid w:val="0094454A"/>
    <w:rsid w:val="00955D7B"/>
    <w:rsid w:val="009566D9"/>
    <w:rsid w:val="00956DED"/>
    <w:rsid w:val="009608FE"/>
    <w:rsid w:val="009620E8"/>
    <w:rsid w:val="0098754B"/>
    <w:rsid w:val="00987739"/>
    <w:rsid w:val="0099249B"/>
    <w:rsid w:val="009C433E"/>
    <w:rsid w:val="009C4B2F"/>
    <w:rsid w:val="009C5AC4"/>
    <w:rsid w:val="009D03E0"/>
    <w:rsid w:val="009D147E"/>
    <w:rsid w:val="009E16A0"/>
    <w:rsid w:val="009E43B9"/>
    <w:rsid w:val="009F0024"/>
    <w:rsid w:val="009F2DDD"/>
    <w:rsid w:val="00A11AF2"/>
    <w:rsid w:val="00A231F4"/>
    <w:rsid w:val="00A23A0B"/>
    <w:rsid w:val="00A259AD"/>
    <w:rsid w:val="00A37A46"/>
    <w:rsid w:val="00A404AB"/>
    <w:rsid w:val="00A43719"/>
    <w:rsid w:val="00A44086"/>
    <w:rsid w:val="00A52FC6"/>
    <w:rsid w:val="00A60D61"/>
    <w:rsid w:val="00A64F61"/>
    <w:rsid w:val="00A676E7"/>
    <w:rsid w:val="00A75116"/>
    <w:rsid w:val="00A816C5"/>
    <w:rsid w:val="00A81946"/>
    <w:rsid w:val="00AA588B"/>
    <w:rsid w:val="00AA70EF"/>
    <w:rsid w:val="00AB430E"/>
    <w:rsid w:val="00AB4D89"/>
    <w:rsid w:val="00AE410C"/>
    <w:rsid w:val="00AE56B2"/>
    <w:rsid w:val="00AF14D9"/>
    <w:rsid w:val="00AF6318"/>
    <w:rsid w:val="00B07CA9"/>
    <w:rsid w:val="00B21A22"/>
    <w:rsid w:val="00B3689D"/>
    <w:rsid w:val="00B662D5"/>
    <w:rsid w:val="00BA55B9"/>
    <w:rsid w:val="00BC5222"/>
    <w:rsid w:val="00BE400B"/>
    <w:rsid w:val="00BE47DE"/>
    <w:rsid w:val="00BF2376"/>
    <w:rsid w:val="00BF47C9"/>
    <w:rsid w:val="00C0081D"/>
    <w:rsid w:val="00C039FF"/>
    <w:rsid w:val="00C068D2"/>
    <w:rsid w:val="00C23B01"/>
    <w:rsid w:val="00C24C4D"/>
    <w:rsid w:val="00C26F64"/>
    <w:rsid w:val="00C30AD7"/>
    <w:rsid w:val="00C320A2"/>
    <w:rsid w:val="00C35711"/>
    <w:rsid w:val="00C35B3D"/>
    <w:rsid w:val="00C41C6D"/>
    <w:rsid w:val="00C420C7"/>
    <w:rsid w:val="00C436A2"/>
    <w:rsid w:val="00C578F6"/>
    <w:rsid w:val="00C63674"/>
    <w:rsid w:val="00C752BA"/>
    <w:rsid w:val="00C8031C"/>
    <w:rsid w:val="00C941D5"/>
    <w:rsid w:val="00C957D5"/>
    <w:rsid w:val="00CA0A5E"/>
    <w:rsid w:val="00CB4203"/>
    <w:rsid w:val="00CB6007"/>
    <w:rsid w:val="00CC5761"/>
    <w:rsid w:val="00CC7598"/>
    <w:rsid w:val="00CE7608"/>
    <w:rsid w:val="00CF6EE5"/>
    <w:rsid w:val="00D02918"/>
    <w:rsid w:val="00D04EFE"/>
    <w:rsid w:val="00D379D8"/>
    <w:rsid w:val="00D37E87"/>
    <w:rsid w:val="00D41047"/>
    <w:rsid w:val="00D45543"/>
    <w:rsid w:val="00D568B8"/>
    <w:rsid w:val="00D80047"/>
    <w:rsid w:val="00D8321C"/>
    <w:rsid w:val="00D8757B"/>
    <w:rsid w:val="00DA1978"/>
    <w:rsid w:val="00DA5522"/>
    <w:rsid w:val="00DB646B"/>
    <w:rsid w:val="00DC2E3D"/>
    <w:rsid w:val="00DC6659"/>
    <w:rsid w:val="00DD6D37"/>
    <w:rsid w:val="00DD7EE7"/>
    <w:rsid w:val="00DE19DE"/>
    <w:rsid w:val="00DE24E4"/>
    <w:rsid w:val="00E00E18"/>
    <w:rsid w:val="00E31CC1"/>
    <w:rsid w:val="00E41432"/>
    <w:rsid w:val="00E4350F"/>
    <w:rsid w:val="00E4371E"/>
    <w:rsid w:val="00E43AB9"/>
    <w:rsid w:val="00E61F98"/>
    <w:rsid w:val="00E62636"/>
    <w:rsid w:val="00E7501D"/>
    <w:rsid w:val="00E853BD"/>
    <w:rsid w:val="00EA2428"/>
    <w:rsid w:val="00EA7C37"/>
    <w:rsid w:val="00EC1BAE"/>
    <w:rsid w:val="00EC5391"/>
    <w:rsid w:val="00ED102E"/>
    <w:rsid w:val="00ED58EC"/>
    <w:rsid w:val="00ED5F37"/>
    <w:rsid w:val="00EE1F9E"/>
    <w:rsid w:val="00F05F11"/>
    <w:rsid w:val="00F0711B"/>
    <w:rsid w:val="00F17A17"/>
    <w:rsid w:val="00F47D90"/>
    <w:rsid w:val="00F61D3C"/>
    <w:rsid w:val="00F64A79"/>
    <w:rsid w:val="00F67C53"/>
    <w:rsid w:val="00F70B95"/>
    <w:rsid w:val="00F80600"/>
    <w:rsid w:val="00F93F3D"/>
    <w:rsid w:val="00FA29B4"/>
    <w:rsid w:val="00FA75E9"/>
    <w:rsid w:val="00FB45B6"/>
    <w:rsid w:val="00FC6529"/>
    <w:rsid w:val="00FD2E07"/>
    <w:rsid w:val="00FD6D30"/>
    <w:rsid w:val="00FE239C"/>
    <w:rsid w:val="00FE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3962"/>
  <w15:docId w15:val="{21720CF7-C3E6-4EF0-B827-5969E20A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5B9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068D2"/>
    <w:pPr>
      <w:keepNext/>
      <w:numPr>
        <w:numId w:val="7"/>
      </w:numPr>
      <w:jc w:val="left"/>
      <w:outlineLvl w:val="0"/>
    </w:pPr>
    <w:rPr>
      <w:rFonts w:ascii="Calibri" w:eastAsiaTheme="minorHAnsi" w:hAnsi="Calibri"/>
      <w:b/>
      <w:spacing w:val="0"/>
      <w:sz w:val="28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068D2"/>
    <w:pPr>
      <w:keepNext/>
      <w:numPr>
        <w:ilvl w:val="1"/>
        <w:numId w:val="7"/>
      </w:numPr>
      <w:jc w:val="left"/>
      <w:outlineLvl w:val="1"/>
    </w:pPr>
    <w:rPr>
      <w:rFonts w:ascii="Calibri" w:eastAsiaTheme="minorHAnsi" w:hAnsi="Calibri"/>
      <w:b/>
      <w:spacing w:val="0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31B34"/>
    <w:pPr>
      <w:keepNext/>
      <w:keepLines/>
      <w:numPr>
        <w:ilvl w:val="2"/>
        <w:numId w:val="7"/>
      </w:numPr>
      <w:spacing w:before="200"/>
      <w:outlineLvl w:val="2"/>
    </w:pPr>
    <w:rPr>
      <w:rFonts w:ascii="Calibri" w:eastAsiaTheme="majorEastAsia" w:hAnsi="Calibri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68D2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68D2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68D2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68D2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68D2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68D2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10B2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10B2E"/>
  </w:style>
  <w:style w:type="paragraph" w:styleId="Zpat">
    <w:name w:val="footer"/>
    <w:basedOn w:val="Normln"/>
    <w:link w:val="ZpatChar"/>
    <w:uiPriority w:val="99"/>
    <w:unhideWhenUsed/>
    <w:rsid w:val="00710B2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10B2E"/>
  </w:style>
  <w:style w:type="paragraph" w:styleId="Textbubliny">
    <w:name w:val="Balloon Text"/>
    <w:basedOn w:val="Normln"/>
    <w:link w:val="TextbublinyChar"/>
    <w:uiPriority w:val="99"/>
    <w:semiHidden/>
    <w:unhideWhenUsed/>
    <w:rsid w:val="009E43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43B9"/>
    <w:rPr>
      <w:rFonts w:ascii="Tahoma" w:eastAsia="Times New Roman" w:hAnsi="Tahoma" w:cs="Tahoma"/>
      <w:spacing w:val="-5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D41047"/>
    <w:pPr>
      <w:spacing w:after="120"/>
      <w:jc w:val="left"/>
    </w:pPr>
    <w:rPr>
      <w:rFonts w:ascii="Times New Roman" w:hAnsi="Times New Roman"/>
      <w:spacing w:val="0"/>
    </w:rPr>
  </w:style>
  <w:style w:type="character" w:customStyle="1" w:styleId="ZkladntextChar">
    <w:name w:val="Základní text Char"/>
    <w:basedOn w:val="Standardnpsmoodstavce"/>
    <w:link w:val="Zkladntext"/>
    <w:rsid w:val="00D41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41047"/>
  </w:style>
  <w:style w:type="character" w:customStyle="1" w:styleId="Nadpis1Char">
    <w:name w:val="Nadpis 1 Char"/>
    <w:basedOn w:val="Standardnpsmoodstavce"/>
    <w:link w:val="Nadpis1"/>
    <w:rsid w:val="00C068D2"/>
    <w:rPr>
      <w:rFonts w:ascii="Calibri" w:hAnsi="Calibri" w:cs="Times New Roman"/>
      <w:b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C068D2"/>
    <w:rPr>
      <w:rFonts w:ascii="Calibri" w:hAnsi="Calibri" w:cs="Times New Roman"/>
      <w:b/>
      <w:sz w:val="24"/>
      <w:szCs w:val="20"/>
    </w:rPr>
  </w:style>
  <w:style w:type="paragraph" w:styleId="Zkladntext3">
    <w:name w:val="Body Text 3"/>
    <w:basedOn w:val="Normln"/>
    <w:link w:val="Zkladntext3Char"/>
    <w:rsid w:val="00D41047"/>
    <w:pPr>
      <w:spacing w:after="120"/>
      <w:jc w:val="left"/>
    </w:pPr>
    <w:rPr>
      <w:rFonts w:ascii="Courier New" w:hAnsi="Courier New"/>
      <w:spacing w:val="0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D41047"/>
    <w:rPr>
      <w:rFonts w:ascii="Courier New" w:eastAsia="Times New Roman" w:hAnsi="Courier New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D41047"/>
    <w:pPr>
      <w:spacing w:after="120"/>
      <w:ind w:left="283"/>
      <w:jc w:val="left"/>
    </w:pPr>
    <w:rPr>
      <w:rFonts w:ascii="Courier New" w:hAnsi="Courier New"/>
      <w:spacing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41047"/>
    <w:rPr>
      <w:rFonts w:ascii="Courier New" w:eastAsia="Times New Roman" w:hAnsi="Courier New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D41047"/>
    <w:pPr>
      <w:spacing w:before="1680" w:after="240"/>
      <w:jc w:val="center"/>
    </w:pPr>
    <w:rPr>
      <w:b/>
      <w:spacing w:val="0"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D41047"/>
    <w:rPr>
      <w:rFonts w:ascii="Arial" w:eastAsia="Times New Roman" w:hAnsi="Arial" w:cs="Times New Roman"/>
      <w:b/>
      <w:sz w:val="36"/>
      <w:szCs w:val="20"/>
      <w:u w:val="single"/>
      <w:lang w:eastAsia="cs-CZ"/>
    </w:rPr>
  </w:style>
  <w:style w:type="paragraph" w:styleId="Obsah1">
    <w:name w:val="toc 1"/>
    <w:basedOn w:val="Normln"/>
    <w:next w:val="Normln"/>
    <w:autoRedefine/>
    <w:uiPriority w:val="39"/>
    <w:qFormat/>
    <w:rsid w:val="00D41047"/>
    <w:pPr>
      <w:tabs>
        <w:tab w:val="left" w:pos="960"/>
        <w:tab w:val="right" w:pos="9072"/>
      </w:tabs>
      <w:spacing w:before="120"/>
      <w:ind w:left="993" w:hanging="993"/>
      <w:jc w:val="left"/>
    </w:pPr>
    <w:rPr>
      <w:rFonts w:ascii="Times New Roman" w:hAnsi="Times New Roman"/>
      <w:b/>
      <w:caps/>
      <w:noProof/>
      <w:spacing w:val="0"/>
      <w:sz w:val="24"/>
    </w:rPr>
  </w:style>
  <w:style w:type="paragraph" w:customStyle="1" w:styleId="Normpoloka">
    <w:name w:val="Norm. položka"/>
    <w:basedOn w:val="Normln"/>
    <w:next w:val="Nadpis2"/>
    <w:rsid w:val="00D41047"/>
    <w:pPr>
      <w:spacing w:before="120" w:line="360" w:lineRule="auto"/>
      <w:ind w:left="737" w:firstLine="680"/>
      <w:jc w:val="left"/>
    </w:pPr>
    <w:rPr>
      <w:spacing w:val="0"/>
    </w:rPr>
  </w:style>
  <w:style w:type="paragraph" w:customStyle="1" w:styleId="Normln0">
    <w:name w:val="Norm‡ln’"/>
    <w:rsid w:val="00D41047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Normlntext-tabulka">
    <w:name w:val="_Normální text - tabulka"/>
    <w:basedOn w:val="Normln"/>
    <w:rsid w:val="00D41047"/>
    <w:pPr>
      <w:widowControl w:val="0"/>
      <w:tabs>
        <w:tab w:val="num" w:pos="360"/>
      </w:tabs>
      <w:spacing w:before="40"/>
      <w:jc w:val="left"/>
    </w:pPr>
    <w:rPr>
      <w:rFonts w:cs="Arial"/>
      <w:spacing w:val="0"/>
      <w:sz w:val="18"/>
      <w:szCs w:val="22"/>
    </w:rPr>
  </w:style>
  <w:style w:type="paragraph" w:customStyle="1" w:styleId="Normlntext">
    <w:name w:val="_Normální text"/>
    <w:basedOn w:val="Normln"/>
    <w:link w:val="NormlntextChar"/>
    <w:rsid w:val="00D41047"/>
    <w:pPr>
      <w:widowControl w:val="0"/>
      <w:tabs>
        <w:tab w:val="num" w:pos="360"/>
      </w:tabs>
      <w:spacing w:line="288" w:lineRule="auto"/>
      <w:ind w:firstLine="567"/>
    </w:pPr>
    <w:rPr>
      <w:rFonts w:cs="Arial"/>
      <w:spacing w:val="0"/>
      <w:sz w:val="22"/>
      <w:szCs w:val="22"/>
    </w:rPr>
  </w:style>
  <w:style w:type="character" w:customStyle="1" w:styleId="NormlntextChar">
    <w:name w:val="_Normální text Char"/>
    <w:link w:val="Normlntext"/>
    <w:rsid w:val="00D41047"/>
    <w:rPr>
      <w:rFonts w:ascii="Arial" w:eastAsia="Times New Roman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D41047"/>
    <w:pPr>
      <w:ind w:left="720"/>
      <w:contextualSpacing/>
      <w:jc w:val="left"/>
    </w:pPr>
    <w:rPr>
      <w:rFonts w:ascii="Courier New" w:hAnsi="Courier New"/>
      <w:spacing w:val="0"/>
      <w:sz w:val="24"/>
    </w:rPr>
  </w:style>
  <w:style w:type="paragraph" w:customStyle="1" w:styleId="ELSOXodrazka1">
    <w:name w:val="ELSOX_odrazka_1"/>
    <w:basedOn w:val="Normln"/>
    <w:link w:val="ELSOXodrazka1Char"/>
    <w:qFormat/>
    <w:rsid w:val="006B4EB9"/>
    <w:pPr>
      <w:numPr>
        <w:numId w:val="1"/>
      </w:numPr>
      <w:tabs>
        <w:tab w:val="left" w:pos="567"/>
      </w:tabs>
      <w:ind w:left="567" w:hanging="283"/>
    </w:pPr>
    <w:rPr>
      <w:rFonts w:ascii="Times New Roman" w:hAnsi="Times New Roman"/>
      <w:spacing w:val="0"/>
      <w:sz w:val="22"/>
    </w:rPr>
  </w:style>
  <w:style w:type="character" w:customStyle="1" w:styleId="ELSOXodrazka1Char">
    <w:name w:val="ELSOX_odrazka_1 Char"/>
    <w:basedOn w:val="Standardnpsmoodstavce"/>
    <w:link w:val="ELSOXodrazka1"/>
    <w:rsid w:val="006B4EB9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ELSOXnormal">
    <w:name w:val="ELSOX_normal"/>
    <w:basedOn w:val="Normln"/>
    <w:rsid w:val="006B4EB9"/>
    <w:pPr>
      <w:ind w:firstLine="284"/>
    </w:pPr>
    <w:rPr>
      <w:rFonts w:ascii="Times New Roman" w:hAnsi="Times New Roman"/>
      <w:spacing w:val="0"/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DE19DE"/>
    <w:pPr>
      <w:keepLines/>
      <w:spacing w:before="480" w:line="276" w:lineRule="auto"/>
      <w:outlineLvl w:val="9"/>
    </w:pPr>
    <w:rPr>
      <w:rFonts w:eastAsiaTheme="majorEastAsia" w:cstheme="majorBidi"/>
      <w:bCs/>
      <w:color w:val="2F5496" w:themeColor="accent1" w:themeShade="BF"/>
      <w:szCs w:val="28"/>
    </w:rPr>
  </w:style>
  <w:style w:type="character" w:styleId="Hypertextovodkaz">
    <w:name w:val="Hyperlink"/>
    <w:basedOn w:val="Standardnpsmoodstavce"/>
    <w:uiPriority w:val="99"/>
    <w:unhideWhenUsed/>
    <w:rsid w:val="00A231F4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31B34"/>
    <w:rPr>
      <w:rFonts w:ascii="Calibri" w:eastAsiaTheme="majorEastAsia" w:hAnsi="Calibri" w:cstheme="majorBidi"/>
      <w:b/>
      <w:bCs/>
      <w:spacing w:val="-5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68D2"/>
    <w:rPr>
      <w:rFonts w:asciiTheme="majorHAnsi" w:eastAsiaTheme="majorEastAsia" w:hAnsiTheme="majorHAnsi" w:cstheme="majorBidi"/>
      <w:b/>
      <w:bCs/>
      <w:i/>
      <w:iCs/>
      <w:color w:val="4472C4" w:themeColor="accent1"/>
      <w:spacing w:val="-5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68D2"/>
    <w:rPr>
      <w:rFonts w:asciiTheme="majorHAnsi" w:eastAsiaTheme="majorEastAsia" w:hAnsiTheme="majorHAnsi" w:cstheme="majorBidi"/>
      <w:color w:val="1F3763" w:themeColor="accent1" w:themeShade="7F"/>
      <w:spacing w:val="-5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68D2"/>
    <w:rPr>
      <w:rFonts w:asciiTheme="majorHAnsi" w:eastAsiaTheme="majorEastAsia" w:hAnsiTheme="majorHAnsi" w:cstheme="majorBidi"/>
      <w:i/>
      <w:iCs/>
      <w:color w:val="1F3763" w:themeColor="accent1" w:themeShade="7F"/>
      <w:spacing w:val="-5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68D2"/>
    <w:rPr>
      <w:rFonts w:asciiTheme="majorHAnsi" w:eastAsiaTheme="majorEastAsia" w:hAnsiTheme="majorHAnsi" w:cstheme="majorBidi"/>
      <w:i/>
      <w:iCs/>
      <w:color w:val="404040" w:themeColor="text1" w:themeTint="BF"/>
      <w:spacing w:val="-5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68D2"/>
    <w:rPr>
      <w:rFonts w:asciiTheme="majorHAnsi" w:eastAsiaTheme="majorEastAsia" w:hAnsiTheme="majorHAnsi" w:cstheme="majorBidi"/>
      <w:color w:val="404040" w:themeColor="text1" w:themeTint="BF"/>
      <w:spacing w:val="-5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68D2"/>
    <w:rPr>
      <w:rFonts w:asciiTheme="majorHAnsi" w:eastAsiaTheme="majorEastAsia" w:hAnsiTheme="majorHAnsi" w:cstheme="majorBidi"/>
      <w:i/>
      <w:iCs/>
      <w:color w:val="404040" w:themeColor="text1" w:themeTint="BF"/>
      <w:spacing w:val="-5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1C6D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41C6D"/>
    <w:pPr>
      <w:spacing w:after="100"/>
      <w:ind w:left="400"/>
    </w:pPr>
  </w:style>
  <w:style w:type="paragraph" w:customStyle="1" w:styleId="1strnn-2-23">
    <w:name w:val="1strnn-2-23"/>
    <w:basedOn w:val="Normln"/>
    <w:rsid w:val="000A32E2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</w:rPr>
  </w:style>
  <w:style w:type="paragraph" w:customStyle="1" w:styleId="ELSOXCSN2">
    <w:name w:val="ELSOX_CSN_2"/>
    <w:basedOn w:val="Normln"/>
    <w:link w:val="ELSOXCSN2Char"/>
    <w:qFormat/>
    <w:rsid w:val="00E43AB9"/>
    <w:pPr>
      <w:tabs>
        <w:tab w:val="left" w:pos="2268"/>
      </w:tabs>
      <w:ind w:left="2268" w:hanging="425"/>
      <w:jc w:val="left"/>
    </w:pPr>
    <w:rPr>
      <w:rFonts w:ascii="Times New Roman" w:hAnsi="Times New Roman"/>
      <w:spacing w:val="0"/>
      <w:sz w:val="22"/>
    </w:rPr>
  </w:style>
  <w:style w:type="character" w:customStyle="1" w:styleId="ELSOXCSN2Char">
    <w:name w:val="ELSOX_CSN_2 Char"/>
    <w:basedOn w:val="Standardnpsmoodstavce"/>
    <w:link w:val="ELSOXCSN2"/>
    <w:rsid w:val="00E43AB9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ELSOXodrazka2">
    <w:name w:val="ELSOX_odrazka_2"/>
    <w:basedOn w:val="Normln"/>
    <w:link w:val="ELSOXodrazka2Char"/>
    <w:qFormat/>
    <w:rsid w:val="006579AE"/>
    <w:pPr>
      <w:numPr>
        <w:numId w:val="9"/>
      </w:numPr>
      <w:tabs>
        <w:tab w:val="left" w:pos="851"/>
      </w:tabs>
      <w:ind w:left="851" w:hanging="284"/>
    </w:pPr>
    <w:rPr>
      <w:rFonts w:ascii="Times New Roman" w:hAnsi="Times New Roman"/>
      <w:spacing w:val="0"/>
      <w:sz w:val="22"/>
    </w:rPr>
  </w:style>
  <w:style w:type="character" w:customStyle="1" w:styleId="ELSOXodrazka2Char">
    <w:name w:val="ELSOX_odrazka_2 Char"/>
    <w:basedOn w:val="Standardnpsmoodstavce"/>
    <w:link w:val="ELSOXodrazka2"/>
    <w:rsid w:val="006579AE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Odsazen1">
    <w:name w:val="Odsazení1"/>
    <w:basedOn w:val="Normln"/>
    <w:next w:val="Normln"/>
    <w:link w:val="Odsazen1Char"/>
    <w:qFormat/>
    <w:rsid w:val="008160EB"/>
    <w:pPr>
      <w:tabs>
        <w:tab w:val="left" w:pos="1134"/>
      </w:tabs>
      <w:autoSpaceDE w:val="0"/>
      <w:autoSpaceDN w:val="0"/>
      <w:adjustRightInd w:val="0"/>
      <w:spacing w:after="120" w:line="252" w:lineRule="auto"/>
      <w:ind w:left="1134" w:hanging="1134"/>
      <w:jc w:val="left"/>
    </w:pPr>
    <w:rPr>
      <w:rFonts w:ascii="Calibri" w:hAnsi="Calibri"/>
      <w:spacing w:val="0"/>
      <w:sz w:val="22"/>
      <w:szCs w:val="22"/>
    </w:rPr>
  </w:style>
  <w:style w:type="character" w:customStyle="1" w:styleId="Odsazen1Char">
    <w:name w:val="Odsazení1 Char"/>
    <w:basedOn w:val="Standardnpsmoodstavce"/>
    <w:link w:val="Odsazen1"/>
    <w:rsid w:val="008160EB"/>
    <w:rPr>
      <w:rFonts w:ascii="Calibri" w:eastAsia="Times New Roman" w:hAnsi="Calibri" w:cs="Times New Roman"/>
      <w:lang w:eastAsia="cs-CZ"/>
    </w:rPr>
  </w:style>
  <w:style w:type="paragraph" w:customStyle="1" w:styleId="Odsazen2">
    <w:name w:val="Odsazení2"/>
    <w:basedOn w:val="Normln"/>
    <w:next w:val="Normln"/>
    <w:link w:val="Odsazen2Char"/>
    <w:qFormat/>
    <w:rsid w:val="00A23A0B"/>
    <w:pPr>
      <w:tabs>
        <w:tab w:val="left" w:pos="2552"/>
      </w:tabs>
      <w:autoSpaceDE w:val="0"/>
      <w:autoSpaceDN w:val="0"/>
      <w:adjustRightInd w:val="0"/>
      <w:spacing w:after="120" w:line="252" w:lineRule="auto"/>
      <w:ind w:left="2552" w:hanging="2552"/>
    </w:pPr>
    <w:rPr>
      <w:rFonts w:ascii="Calibri" w:hAnsi="Calibri"/>
      <w:color w:val="000000" w:themeColor="text1"/>
      <w:spacing w:val="0"/>
      <w:sz w:val="22"/>
      <w:szCs w:val="24"/>
    </w:rPr>
  </w:style>
  <w:style w:type="character" w:customStyle="1" w:styleId="Odsazen2Char">
    <w:name w:val="Odsazení2 Char"/>
    <w:basedOn w:val="Odsazen1Char"/>
    <w:link w:val="Odsazen2"/>
    <w:rsid w:val="00A23A0B"/>
    <w:rPr>
      <w:rFonts w:ascii="Calibri" w:eastAsia="Times New Roman" w:hAnsi="Calibri" w:cs="Times New Roman"/>
      <w:color w:val="000000" w:themeColor="text1"/>
      <w:szCs w:val="24"/>
      <w:lang w:eastAsia="cs-CZ"/>
    </w:rPr>
  </w:style>
  <w:style w:type="paragraph" w:customStyle="1" w:styleId="Popisyobrzkatabulek">
    <w:name w:val="Popisy obrázků a tabulek"/>
    <w:basedOn w:val="Normln"/>
    <w:link w:val="PopisyobrzkatabulekChar"/>
    <w:qFormat/>
    <w:rsid w:val="00F17A17"/>
    <w:pPr>
      <w:autoSpaceDE w:val="0"/>
      <w:autoSpaceDN w:val="0"/>
      <w:adjustRightInd w:val="0"/>
      <w:spacing w:after="360" w:line="252" w:lineRule="auto"/>
      <w:jc w:val="center"/>
    </w:pPr>
    <w:rPr>
      <w:rFonts w:ascii="Calibri" w:hAnsi="Calibri"/>
      <w:i/>
      <w:color w:val="000000" w:themeColor="text1"/>
      <w:spacing w:val="0"/>
      <w:sz w:val="18"/>
      <w:szCs w:val="24"/>
    </w:rPr>
  </w:style>
  <w:style w:type="character" w:customStyle="1" w:styleId="PopisyobrzkatabulekChar">
    <w:name w:val="Popisy obrázků a tabulek Char"/>
    <w:basedOn w:val="Odsazen1Char"/>
    <w:link w:val="Popisyobrzkatabulek"/>
    <w:rsid w:val="00F17A17"/>
    <w:rPr>
      <w:rFonts w:ascii="Calibri" w:eastAsia="Times New Roman" w:hAnsi="Calibri" w:cs="Times New Roman"/>
      <w:i/>
      <w:color w:val="000000" w:themeColor="text1"/>
      <w:sz w:val="18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7A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7A5C"/>
    <w:rPr>
      <w:rFonts w:ascii="Arial" w:eastAsia="Times New Roman" w:hAnsi="Arial" w:cs="Times New Roman"/>
      <w:spacing w:val="-5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A7A5C"/>
    <w:rPr>
      <w:vertAlign w:val="superscript"/>
    </w:rPr>
  </w:style>
  <w:style w:type="table" w:styleId="Mkatabulky">
    <w:name w:val="Table Grid"/>
    <w:basedOn w:val="Normlntabulka"/>
    <w:uiPriority w:val="39"/>
    <w:rsid w:val="009C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0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FC68-056A-49E3-8686-28F3BE00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15</Pages>
  <Words>6805</Words>
  <Characters>40150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Bárta</dc:creator>
  <cp:lastModifiedBy>Ladislav Staško</cp:lastModifiedBy>
  <cp:revision>19</cp:revision>
  <cp:lastPrinted>2024-02-08T14:53:00Z</cp:lastPrinted>
  <dcterms:created xsi:type="dcterms:W3CDTF">2024-03-04T10:35:00Z</dcterms:created>
  <dcterms:modified xsi:type="dcterms:W3CDTF">2024-03-18T11:10:00Z</dcterms:modified>
</cp:coreProperties>
</file>