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D4B0" w14:textId="29B0EA8D" w:rsidR="009950CF" w:rsidRPr="00332B67" w:rsidRDefault="009950CF" w:rsidP="0098295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C01F90" w:rsidRPr="00C01F90">
        <w:rPr>
          <w:rFonts w:cs="Arial"/>
          <w:b/>
          <w:sz w:val="28"/>
          <w:szCs w:val="28"/>
          <w:lang w:val="cs-CZ"/>
        </w:rPr>
        <w:t>Modernizace lůžkové stanice ve 3.NP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17415BB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98295F">
        <w:rPr>
          <w:rFonts w:ascii="Arial" w:eastAsia="Arial Unicode MS" w:hAnsi="Arial" w:cs="Arial"/>
          <w:sz w:val="24"/>
          <w:szCs w:val="24"/>
        </w:rPr>
        <w:t>4.3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CABD399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 w:rsidR="00C62BDA">
              <w:rPr>
                <w:rFonts w:ascii="Arial" w:hAnsi="Arial" w:cs="Arial"/>
                <w:sz w:val="20"/>
              </w:rPr>
              <w:t xml:space="preserve"> </w:t>
            </w:r>
            <w:r w:rsidR="00581A0C" w:rsidRPr="00894959">
              <w:rPr>
                <w:rFonts w:ascii="Arial" w:hAnsi="Arial" w:cs="Arial"/>
                <w:sz w:val="20"/>
              </w:rPr>
              <w:t>ZP</w:t>
            </w:r>
            <w:r w:rsidR="009829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409A9840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sectPr w:rsidR="00510AE5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078A9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1D0"/>
    <w:rsid w:val="00580597"/>
    <w:rsid w:val="00581A0C"/>
    <w:rsid w:val="005A5445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1F90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Ing. Lukáš MLEJNEK</cp:lastModifiedBy>
  <cp:revision>2</cp:revision>
  <cp:lastPrinted>2020-02-20T13:50:00Z</cp:lastPrinted>
  <dcterms:created xsi:type="dcterms:W3CDTF">2024-10-04T07:03:00Z</dcterms:created>
  <dcterms:modified xsi:type="dcterms:W3CDTF">2024-10-15T08:27:00Z</dcterms:modified>
</cp:coreProperties>
</file>