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FBC9" w14:textId="62E3CAE3" w:rsidR="00D73EA5" w:rsidRPr="00A65B3E" w:rsidRDefault="00B57973" w:rsidP="00D73EA5">
      <w:pPr>
        <w:rPr>
          <w:rFonts w:cs="Arial"/>
          <w:szCs w:val="20"/>
        </w:rPr>
      </w:pPr>
      <w:r w:rsidRPr="00A65B3E">
        <w:rPr>
          <w:rFonts w:cs="Arial"/>
          <w:szCs w:val="20"/>
        </w:rPr>
        <w:t>Příloha č. 4</w:t>
      </w:r>
      <w:r w:rsidR="00D73EA5" w:rsidRPr="00A65B3E">
        <w:rPr>
          <w:rFonts w:cs="Arial"/>
          <w:szCs w:val="20"/>
        </w:rPr>
        <w:t xml:space="preserve"> – Technická specifikace</w:t>
      </w:r>
    </w:p>
    <w:p w14:paraId="17BEBFAA" w14:textId="77777777" w:rsidR="00D73EA5" w:rsidRPr="00221CE2" w:rsidRDefault="00D73EA5" w:rsidP="00D73EA5">
      <w:pPr>
        <w:rPr>
          <w:rFonts w:cs="Arial"/>
          <w:sz w:val="24"/>
          <w:szCs w:val="24"/>
        </w:rPr>
      </w:pPr>
    </w:p>
    <w:p w14:paraId="1D7A07AD" w14:textId="1CFF037D" w:rsidR="00D73EA5" w:rsidRPr="00221CE2" w:rsidRDefault="00A65B3E" w:rsidP="00B57973">
      <w:pPr>
        <w:jc w:val="center"/>
        <w:rPr>
          <w:rFonts w:cs="Arial"/>
          <w:b/>
          <w:sz w:val="24"/>
          <w:szCs w:val="24"/>
        </w:rPr>
      </w:pPr>
      <w:r w:rsidRPr="00221CE2">
        <w:rPr>
          <w:rFonts w:cs="Arial"/>
          <w:b/>
          <w:sz w:val="24"/>
          <w:szCs w:val="24"/>
        </w:rPr>
        <w:t xml:space="preserve">MR44_2024 - </w:t>
      </w:r>
      <w:r w:rsidR="00B57973" w:rsidRPr="00221CE2">
        <w:rPr>
          <w:rFonts w:cs="Arial"/>
          <w:b/>
          <w:sz w:val="24"/>
          <w:szCs w:val="24"/>
        </w:rPr>
        <w:t>Bezpečnostní f</w:t>
      </w:r>
      <w:r w:rsidR="00FD29E8">
        <w:rPr>
          <w:rFonts w:cs="Arial"/>
          <w:b/>
          <w:sz w:val="24"/>
          <w:szCs w:val="24"/>
        </w:rPr>
        <w:t>ó</w:t>
      </w:r>
      <w:r w:rsidR="00B57973" w:rsidRPr="00221CE2">
        <w:rPr>
          <w:rFonts w:cs="Arial"/>
          <w:b/>
          <w:sz w:val="24"/>
          <w:szCs w:val="24"/>
        </w:rPr>
        <w:t>lie pro objekty ČRo</w:t>
      </w:r>
    </w:p>
    <w:p w14:paraId="07E197C0" w14:textId="77777777" w:rsidR="00856BF3" w:rsidRPr="00A65B3E" w:rsidRDefault="00856BF3" w:rsidP="00B57973">
      <w:pPr>
        <w:jc w:val="center"/>
        <w:rPr>
          <w:rFonts w:cs="Arial"/>
          <w:szCs w:val="20"/>
        </w:rPr>
      </w:pPr>
    </w:p>
    <w:p w14:paraId="190353F6" w14:textId="3718815A" w:rsidR="00D01A71" w:rsidRPr="00A65B3E" w:rsidRDefault="00D01A71" w:rsidP="00D73EA5">
      <w:pPr>
        <w:rPr>
          <w:rFonts w:cs="Arial"/>
          <w:b/>
          <w:szCs w:val="20"/>
        </w:rPr>
      </w:pPr>
      <w:r w:rsidRPr="00A65B3E">
        <w:rPr>
          <w:rFonts w:cs="Arial"/>
          <w:b/>
          <w:szCs w:val="20"/>
        </w:rPr>
        <w:t>Specifikace bezpečnostní okenní fólie:</w:t>
      </w:r>
    </w:p>
    <w:p w14:paraId="5D1E2361" w14:textId="77777777" w:rsidR="00D01A71" w:rsidRPr="00A65B3E" w:rsidRDefault="00D01A71" w:rsidP="00D73EA5">
      <w:pPr>
        <w:rPr>
          <w:rFonts w:cs="Arial"/>
          <w:szCs w:val="20"/>
        </w:rPr>
      </w:pPr>
    </w:p>
    <w:p w14:paraId="01545EFD" w14:textId="748E4B2E" w:rsidR="00D01A71" w:rsidRPr="00A65B3E" w:rsidRDefault="00D01A71" w:rsidP="00221CE2">
      <w:pPr>
        <w:pStyle w:val="Odstavecseseznamem"/>
        <w:numPr>
          <w:ilvl w:val="0"/>
          <w:numId w:val="6"/>
        </w:numPr>
        <w:tabs>
          <w:tab w:val="clear" w:pos="624"/>
          <w:tab w:val="left" w:pos="567"/>
        </w:tabs>
        <w:spacing w:after="60"/>
        <w:ind w:left="567" w:hanging="210"/>
        <w:contextualSpacing w:val="0"/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Bezpečnostní fólie o síle minimálně 300 mikronů (tloušťka 300 mikronů splňuje pevnostní kategorii P1A a P2A dle normy EN ČSN 356)</w:t>
      </w:r>
      <w:r w:rsidR="00A65B3E">
        <w:rPr>
          <w:rFonts w:cs="Arial"/>
          <w:szCs w:val="20"/>
        </w:rPr>
        <w:t>;</w:t>
      </w:r>
    </w:p>
    <w:p w14:paraId="33F0DC3E" w14:textId="7E358762" w:rsidR="00D01A71" w:rsidRPr="00A65B3E" w:rsidRDefault="00D01A71" w:rsidP="00221CE2">
      <w:pPr>
        <w:pStyle w:val="Odstavecseseznamem"/>
        <w:numPr>
          <w:ilvl w:val="0"/>
          <w:numId w:val="6"/>
        </w:numPr>
        <w:tabs>
          <w:tab w:val="clear" w:pos="624"/>
          <w:tab w:val="left" w:pos="567"/>
        </w:tabs>
        <w:spacing w:after="60"/>
        <w:ind w:left="567" w:hanging="210"/>
        <w:contextualSpacing w:val="0"/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Bezpečnostní fólie musí mít atest podle EN ČSN 356</w:t>
      </w:r>
      <w:r w:rsidR="00A65B3E">
        <w:rPr>
          <w:rFonts w:cs="Arial"/>
          <w:szCs w:val="20"/>
        </w:rPr>
        <w:t>;</w:t>
      </w:r>
    </w:p>
    <w:p w14:paraId="504AEC08" w14:textId="6697A48C" w:rsidR="00D01A71" w:rsidRPr="00A65B3E" w:rsidRDefault="00D01A71" w:rsidP="00221CE2">
      <w:pPr>
        <w:pStyle w:val="Odstavecseseznamem"/>
        <w:numPr>
          <w:ilvl w:val="0"/>
          <w:numId w:val="6"/>
        </w:numPr>
        <w:tabs>
          <w:tab w:val="clear" w:pos="624"/>
          <w:tab w:val="left" w:pos="567"/>
        </w:tabs>
        <w:spacing w:after="60"/>
        <w:ind w:left="567" w:hanging="210"/>
        <w:contextualSpacing w:val="0"/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Bezpečnostní fólie musí splňovat pevnostní kategorie P1A a P2A</w:t>
      </w:r>
      <w:r w:rsidR="00A65B3E">
        <w:rPr>
          <w:rFonts w:cs="Arial"/>
          <w:szCs w:val="20"/>
        </w:rPr>
        <w:t>.</w:t>
      </w:r>
    </w:p>
    <w:p w14:paraId="3E15F25F" w14:textId="77777777" w:rsidR="00D01A71" w:rsidRPr="00A65B3E" w:rsidRDefault="00D01A71" w:rsidP="00D73EA5">
      <w:pPr>
        <w:rPr>
          <w:rFonts w:cs="Arial"/>
          <w:szCs w:val="20"/>
        </w:rPr>
      </w:pPr>
      <w:bookmarkStart w:id="0" w:name="_GoBack"/>
      <w:bookmarkEnd w:id="0"/>
    </w:p>
    <w:p w14:paraId="31A7FF94" w14:textId="192FF1CC" w:rsidR="00D73EA5" w:rsidRPr="00A65B3E" w:rsidRDefault="00D01A71" w:rsidP="00D73EA5">
      <w:pPr>
        <w:rPr>
          <w:rFonts w:cs="Arial"/>
          <w:b/>
          <w:szCs w:val="20"/>
        </w:rPr>
      </w:pPr>
      <w:r w:rsidRPr="00A65B3E">
        <w:rPr>
          <w:rFonts w:cs="Arial"/>
          <w:b/>
          <w:szCs w:val="20"/>
        </w:rPr>
        <w:t>Požadavky na instalaci, certifikáty:</w:t>
      </w:r>
    </w:p>
    <w:p w14:paraId="0085A2AB" w14:textId="79D805DD" w:rsidR="00D01A71" w:rsidRPr="00A65B3E" w:rsidRDefault="00D01A71" w:rsidP="00ED6F2E">
      <w:pPr>
        <w:jc w:val="both"/>
        <w:rPr>
          <w:rFonts w:cs="Arial"/>
          <w:szCs w:val="20"/>
        </w:rPr>
      </w:pPr>
    </w:p>
    <w:p w14:paraId="6F65D70F" w14:textId="62908911" w:rsidR="00D01A71" w:rsidRPr="00A65B3E" w:rsidRDefault="00D01A71" w:rsidP="00ED6F2E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 xml:space="preserve">Dodaná (použitá) fólie musí </w:t>
      </w:r>
      <w:r w:rsidR="00A65B3E">
        <w:rPr>
          <w:rFonts w:cs="Arial"/>
          <w:szCs w:val="20"/>
        </w:rPr>
        <w:t>splňovat certifikaci</w:t>
      </w:r>
      <w:r w:rsidRPr="00A65B3E">
        <w:rPr>
          <w:rFonts w:cs="Arial"/>
          <w:szCs w:val="20"/>
        </w:rPr>
        <w:t xml:space="preserve"> pro bezpečnostní fólii CSX - EN 356 E - P2A.</w:t>
      </w:r>
    </w:p>
    <w:p w14:paraId="155E757C" w14:textId="77777777" w:rsidR="00D01A71" w:rsidRPr="00A65B3E" w:rsidRDefault="00D01A71" w:rsidP="00ED6F2E">
      <w:pPr>
        <w:jc w:val="both"/>
        <w:rPr>
          <w:rFonts w:cs="Arial"/>
          <w:szCs w:val="20"/>
        </w:rPr>
      </w:pPr>
    </w:p>
    <w:p w14:paraId="70DC89A2" w14:textId="1A1AA1B8" w:rsidR="00D73EA5" w:rsidRPr="00A65B3E" w:rsidRDefault="00D01A71" w:rsidP="00ED6F2E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Dodavatel musí být držitelem:</w:t>
      </w:r>
    </w:p>
    <w:p w14:paraId="10D6C39A" w14:textId="77777777" w:rsidR="00D01A71" w:rsidRPr="00A65B3E" w:rsidRDefault="00D01A71" w:rsidP="00ED6F2E">
      <w:pPr>
        <w:jc w:val="both"/>
        <w:rPr>
          <w:rFonts w:cs="Arial"/>
          <w:szCs w:val="20"/>
        </w:rPr>
      </w:pPr>
    </w:p>
    <w:p w14:paraId="39C3F26E" w14:textId="09E29930" w:rsidR="00D01A71" w:rsidRPr="00A65B3E" w:rsidRDefault="00D01A71" w:rsidP="00221CE2">
      <w:pPr>
        <w:pStyle w:val="Odstavecseseznamem"/>
        <w:numPr>
          <w:ilvl w:val="0"/>
          <w:numId w:val="7"/>
        </w:numPr>
        <w:tabs>
          <w:tab w:val="clear" w:pos="624"/>
          <w:tab w:val="left" w:pos="567"/>
        </w:tabs>
        <w:spacing w:after="60"/>
        <w:contextualSpacing w:val="0"/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Osvědčení (Státem akreditované laboratoře č. 1139 odolnosti proti proražení podle DIN EN 356 E:P – 2</w:t>
      </w:r>
      <w:r w:rsidR="00A65B3E">
        <w:rPr>
          <w:rFonts w:cs="Arial"/>
          <w:szCs w:val="20"/>
        </w:rPr>
        <w:t>;</w:t>
      </w:r>
    </w:p>
    <w:p w14:paraId="2270C94A" w14:textId="551B76B1" w:rsidR="00D73EA5" w:rsidRPr="00A65B3E" w:rsidRDefault="00D01A71" w:rsidP="00221CE2">
      <w:pPr>
        <w:pStyle w:val="Odstavecseseznamem"/>
        <w:numPr>
          <w:ilvl w:val="0"/>
          <w:numId w:val="7"/>
        </w:numPr>
        <w:tabs>
          <w:tab w:val="clear" w:pos="624"/>
          <w:tab w:val="left" w:pos="567"/>
        </w:tabs>
        <w:spacing w:after="60"/>
        <w:contextualSpacing w:val="0"/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 xml:space="preserve">Osvědčení č.: A - 153 - 1 / 2005 pro instalaci z interiéru na sklo </w:t>
      </w:r>
      <w:r w:rsidR="00A65B3E">
        <w:rPr>
          <w:rFonts w:cs="Arial"/>
          <w:szCs w:val="20"/>
        </w:rPr>
        <w:t xml:space="preserve">o </w:t>
      </w:r>
      <w:r w:rsidRPr="00A65B3E">
        <w:rPr>
          <w:rFonts w:cs="Arial"/>
          <w:szCs w:val="20"/>
        </w:rPr>
        <w:t>síl</w:t>
      </w:r>
      <w:r w:rsidR="00A65B3E">
        <w:rPr>
          <w:rFonts w:cs="Arial"/>
          <w:szCs w:val="20"/>
        </w:rPr>
        <w:t>e</w:t>
      </w:r>
      <w:r w:rsidRPr="00A65B3E">
        <w:rPr>
          <w:rFonts w:cs="Arial"/>
          <w:szCs w:val="20"/>
        </w:rPr>
        <w:t xml:space="preserve"> 3</w:t>
      </w:r>
      <w:r w:rsidR="00A65B3E">
        <w:rPr>
          <w:rFonts w:cs="Arial"/>
          <w:szCs w:val="20"/>
        </w:rPr>
        <w:t xml:space="preserve"> </w:t>
      </w:r>
      <w:r w:rsidRPr="00A65B3E">
        <w:rPr>
          <w:rFonts w:cs="Arial"/>
          <w:szCs w:val="20"/>
        </w:rPr>
        <w:t>mm a více pro bezpečnostní fólii SCX</w:t>
      </w:r>
      <w:r w:rsidR="00A65B3E">
        <w:rPr>
          <w:rFonts w:cs="Arial"/>
          <w:szCs w:val="20"/>
        </w:rPr>
        <w:t>.</w:t>
      </w:r>
    </w:p>
    <w:p w14:paraId="064B7A33" w14:textId="77777777" w:rsidR="00856BF3" w:rsidRPr="00A65B3E" w:rsidRDefault="00856BF3" w:rsidP="00D73EA5">
      <w:pPr>
        <w:rPr>
          <w:rFonts w:cs="Arial"/>
          <w:szCs w:val="20"/>
        </w:rPr>
      </w:pPr>
    </w:p>
    <w:p w14:paraId="3FDD2216" w14:textId="7FA93316" w:rsidR="00D73EA5" w:rsidRPr="00A65B3E" w:rsidRDefault="00ED6F2E" w:rsidP="00ED6F2E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Dodaná a instalovaná b</w:t>
      </w:r>
      <w:r w:rsidR="00856BF3" w:rsidRPr="00A65B3E">
        <w:rPr>
          <w:rFonts w:cs="Arial"/>
          <w:szCs w:val="20"/>
        </w:rPr>
        <w:t>ezpečnostní fólie musí být omyvatelná běžnými prostředk</w:t>
      </w:r>
      <w:r w:rsidR="00A65B3E">
        <w:rPr>
          <w:rFonts w:cs="Arial"/>
          <w:szCs w:val="20"/>
        </w:rPr>
        <w:t>y</w:t>
      </w:r>
      <w:r w:rsidR="00856BF3" w:rsidRPr="00A65B3E">
        <w:rPr>
          <w:rFonts w:cs="Arial"/>
          <w:szCs w:val="20"/>
        </w:rPr>
        <w:t xml:space="preserve"> jako okenní sklo.</w:t>
      </w:r>
      <w:r w:rsidR="00C27205">
        <w:rPr>
          <w:rFonts w:cs="Arial"/>
          <w:szCs w:val="20"/>
        </w:rPr>
        <w:t xml:space="preserve"> Dodavatel předá zadavateli písemnou informaci, jakým způsobem bezpečnostní fólie udržovat a čistit, aby nedošlo ke ztrátě záruky. </w:t>
      </w:r>
    </w:p>
    <w:p w14:paraId="1885D155" w14:textId="6398FD72" w:rsidR="00D01A71" w:rsidRPr="00A65B3E" w:rsidRDefault="00D01A71" w:rsidP="00ED6F2E">
      <w:pPr>
        <w:jc w:val="both"/>
        <w:rPr>
          <w:rFonts w:cs="Arial"/>
          <w:szCs w:val="20"/>
        </w:rPr>
      </w:pPr>
    </w:p>
    <w:p w14:paraId="680A571E" w14:textId="2E8A741C" w:rsidR="00ED6F2E" w:rsidRPr="00A65B3E" w:rsidRDefault="00ED6F2E" w:rsidP="00ED6F2E">
      <w:pPr>
        <w:jc w:val="both"/>
        <w:rPr>
          <w:rFonts w:cs="Arial"/>
          <w:b/>
          <w:szCs w:val="20"/>
        </w:rPr>
      </w:pPr>
      <w:r w:rsidRPr="00A65B3E">
        <w:rPr>
          <w:rFonts w:cs="Arial"/>
          <w:b/>
          <w:szCs w:val="20"/>
        </w:rPr>
        <w:t>Cena:</w:t>
      </w:r>
    </w:p>
    <w:p w14:paraId="04A522FE" w14:textId="4CFE1352" w:rsidR="00D01A71" w:rsidRPr="00A65B3E" w:rsidRDefault="000235D3" w:rsidP="00ED6F2E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Do ceny</w:t>
      </w:r>
      <w:r w:rsidR="00D01A71" w:rsidRPr="00A65B3E">
        <w:rPr>
          <w:rFonts w:cs="Arial"/>
          <w:szCs w:val="20"/>
        </w:rPr>
        <w:t xml:space="preserve"> dod</w:t>
      </w:r>
      <w:r w:rsidR="00A65B3E">
        <w:rPr>
          <w:rFonts w:cs="Arial"/>
          <w:szCs w:val="20"/>
        </w:rPr>
        <w:t>áva</w:t>
      </w:r>
      <w:r w:rsidR="00D01A71" w:rsidRPr="00A65B3E">
        <w:rPr>
          <w:rFonts w:cs="Arial"/>
          <w:szCs w:val="20"/>
        </w:rPr>
        <w:t>ných f</w:t>
      </w:r>
      <w:r w:rsidR="00A65B3E">
        <w:rPr>
          <w:rFonts w:cs="Arial"/>
          <w:szCs w:val="20"/>
        </w:rPr>
        <w:t>ó</w:t>
      </w:r>
      <w:r w:rsidR="00D01A71" w:rsidRPr="00A65B3E">
        <w:rPr>
          <w:rFonts w:cs="Arial"/>
          <w:szCs w:val="20"/>
        </w:rPr>
        <w:t>li</w:t>
      </w:r>
      <w:r w:rsidR="00A65B3E">
        <w:rPr>
          <w:rFonts w:cs="Arial"/>
          <w:szCs w:val="20"/>
        </w:rPr>
        <w:t>í</w:t>
      </w:r>
      <w:r w:rsidR="00D01A71" w:rsidRPr="00A65B3E">
        <w:rPr>
          <w:rFonts w:cs="Arial"/>
          <w:szCs w:val="20"/>
        </w:rPr>
        <w:t xml:space="preserve"> </w:t>
      </w:r>
      <w:r w:rsidR="00856BF3" w:rsidRPr="00A65B3E">
        <w:rPr>
          <w:rFonts w:cs="Arial"/>
          <w:szCs w:val="20"/>
        </w:rPr>
        <w:t xml:space="preserve">si dodavatel </w:t>
      </w:r>
      <w:r w:rsidRPr="00A65B3E">
        <w:rPr>
          <w:rFonts w:cs="Arial"/>
          <w:szCs w:val="20"/>
        </w:rPr>
        <w:t>započte</w:t>
      </w:r>
      <w:r w:rsidR="00D01A71" w:rsidRPr="00A65B3E">
        <w:rPr>
          <w:rFonts w:cs="Arial"/>
          <w:szCs w:val="20"/>
        </w:rPr>
        <w:t xml:space="preserve"> cen</w:t>
      </w:r>
      <w:r w:rsidR="00856BF3" w:rsidRPr="00A65B3E">
        <w:rPr>
          <w:rFonts w:cs="Arial"/>
          <w:szCs w:val="20"/>
        </w:rPr>
        <w:t>u</w:t>
      </w:r>
      <w:r w:rsidR="00D01A71" w:rsidRPr="00A65B3E">
        <w:rPr>
          <w:rFonts w:cs="Arial"/>
          <w:szCs w:val="20"/>
        </w:rPr>
        <w:t xml:space="preserve"> za dopravu a případné </w:t>
      </w:r>
      <w:r w:rsidRPr="00A65B3E">
        <w:rPr>
          <w:rFonts w:cs="Arial"/>
          <w:szCs w:val="20"/>
        </w:rPr>
        <w:t>další potřebné náklady</w:t>
      </w:r>
      <w:r w:rsidR="00D01A71" w:rsidRPr="00A65B3E">
        <w:rPr>
          <w:rFonts w:cs="Arial"/>
          <w:szCs w:val="20"/>
        </w:rPr>
        <w:t>.</w:t>
      </w:r>
      <w:r w:rsidRPr="00A65B3E">
        <w:rPr>
          <w:rFonts w:cs="Arial"/>
          <w:szCs w:val="20"/>
        </w:rPr>
        <w:t xml:space="preserve"> Ceny uveden</w:t>
      </w:r>
      <w:r w:rsidR="00A65B3E">
        <w:rPr>
          <w:rFonts w:cs="Arial"/>
          <w:szCs w:val="20"/>
        </w:rPr>
        <w:t>é</w:t>
      </w:r>
      <w:r w:rsidRPr="00A65B3E">
        <w:rPr>
          <w:rFonts w:cs="Arial"/>
          <w:szCs w:val="20"/>
        </w:rPr>
        <w:t xml:space="preserve"> za </w:t>
      </w:r>
      <w:r w:rsidR="0005374A" w:rsidRPr="00A65B3E">
        <w:rPr>
          <w:rFonts w:cs="Arial"/>
          <w:szCs w:val="20"/>
        </w:rPr>
        <w:t>m</w:t>
      </w:r>
      <w:r w:rsidR="0005374A">
        <w:rPr>
          <w:rFonts w:cs="Arial"/>
          <w:szCs w:val="20"/>
        </w:rPr>
        <w:t>2</w:t>
      </w:r>
      <w:r w:rsidR="009D25CE">
        <w:rPr>
          <w:rFonts w:cs="Arial"/>
          <w:szCs w:val="20"/>
        </w:rPr>
        <w:t xml:space="preserve"> </w:t>
      </w:r>
      <w:r w:rsidRPr="00A65B3E">
        <w:rPr>
          <w:rFonts w:cs="Arial"/>
          <w:szCs w:val="20"/>
        </w:rPr>
        <w:t xml:space="preserve">v </w:t>
      </w:r>
      <w:r w:rsidR="009D25CE">
        <w:rPr>
          <w:rFonts w:cs="Arial"/>
          <w:szCs w:val="20"/>
        </w:rPr>
        <w:t>t</w:t>
      </w:r>
      <w:r w:rsidR="000C1A2B">
        <w:rPr>
          <w:rFonts w:cs="Arial"/>
          <w:szCs w:val="20"/>
        </w:rPr>
        <w:t>abul</w:t>
      </w:r>
      <w:r w:rsidR="009D25CE">
        <w:rPr>
          <w:rFonts w:cs="Arial"/>
          <w:szCs w:val="20"/>
        </w:rPr>
        <w:t>ce</w:t>
      </w:r>
      <w:r w:rsidR="000C1A2B">
        <w:rPr>
          <w:rFonts w:cs="Arial"/>
          <w:szCs w:val="20"/>
        </w:rPr>
        <w:t xml:space="preserve"> pro výpočet nabídkové ceny (příloha č. 5)</w:t>
      </w:r>
      <w:r w:rsidRPr="00A65B3E">
        <w:rPr>
          <w:rFonts w:cs="Arial"/>
          <w:szCs w:val="20"/>
        </w:rPr>
        <w:t xml:space="preserve"> tak bud</w:t>
      </w:r>
      <w:r w:rsidR="00A65B3E">
        <w:rPr>
          <w:rFonts w:cs="Arial"/>
          <w:szCs w:val="20"/>
        </w:rPr>
        <w:t>ou</w:t>
      </w:r>
      <w:r w:rsidRPr="00A65B3E">
        <w:rPr>
          <w:rFonts w:cs="Arial"/>
          <w:szCs w:val="20"/>
        </w:rPr>
        <w:t xml:space="preserve"> konečn</w:t>
      </w:r>
      <w:r w:rsidR="00A65B3E">
        <w:rPr>
          <w:rFonts w:cs="Arial"/>
          <w:szCs w:val="20"/>
        </w:rPr>
        <w:t>é a neměnné</w:t>
      </w:r>
      <w:r w:rsidRPr="00A65B3E">
        <w:rPr>
          <w:rFonts w:cs="Arial"/>
          <w:szCs w:val="20"/>
        </w:rPr>
        <w:t>.</w:t>
      </w:r>
    </w:p>
    <w:p w14:paraId="21717D36" w14:textId="109533FC" w:rsidR="00D73EA5" w:rsidRPr="00A65B3E" w:rsidRDefault="00D73EA5" w:rsidP="00D73EA5">
      <w:pPr>
        <w:rPr>
          <w:rFonts w:cs="Arial"/>
          <w:szCs w:val="20"/>
        </w:rPr>
      </w:pPr>
    </w:p>
    <w:p w14:paraId="46F80DE8" w14:textId="3063F652" w:rsidR="00ED6F2E" w:rsidRPr="00A65B3E" w:rsidRDefault="00ED6F2E" w:rsidP="00D73EA5">
      <w:pPr>
        <w:rPr>
          <w:rFonts w:cs="Arial"/>
          <w:b/>
          <w:szCs w:val="20"/>
        </w:rPr>
      </w:pPr>
      <w:r w:rsidRPr="00A65B3E">
        <w:rPr>
          <w:rFonts w:cs="Arial"/>
          <w:b/>
          <w:szCs w:val="20"/>
        </w:rPr>
        <w:t>Projekt:</w:t>
      </w:r>
    </w:p>
    <w:p w14:paraId="1A754BD7" w14:textId="63BC6E67" w:rsidR="00856BF3" w:rsidRPr="00A65B3E" w:rsidRDefault="00856BF3" w:rsidP="00856BF3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>Kompletní projekt s fotodokumentací pro instalaci bezpečnostních fólií na jednotlivých objektech Českého rozhlasu obdrží dodavatel po podpisu smlouvy. Zároveň dodavatel obdrží kontaktní informace na jednotlivé pracovníky regionálních studií</w:t>
      </w:r>
      <w:r w:rsidR="000C1A2B">
        <w:rPr>
          <w:rFonts w:cs="Arial"/>
          <w:szCs w:val="20"/>
        </w:rPr>
        <w:t xml:space="preserve"> zadavatele</w:t>
      </w:r>
      <w:r w:rsidRPr="00A65B3E">
        <w:rPr>
          <w:rFonts w:cs="Arial"/>
          <w:szCs w:val="20"/>
        </w:rPr>
        <w:t xml:space="preserve">, kteří budou kontaktními osobami za </w:t>
      </w:r>
      <w:r w:rsidR="000C1A2B">
        <w:rPr>
          <w:rFonts w:cs="Arial"/>
          <w:szCs w:val="20"/>
        </w:rPr>
        <w:t>zadavatele</w:t>
      </w:r>
      <w:r w:rsidRPr="00A65B3E">
        <w:rPr>
          <w:rFonts w:cs="Arial"/>
          <w:szCs w:val="20"/>
        </w:rPr>
        <w:t xml:space="preserve">. </w:t>
      </w:r>
    </w:p>
    <w:p w14:paraId="0E632BAB" w14:textId="05ED8395" w:rsidR="00D73EA5" w:rsidRPr="00A65B3E" w:rsidRDefault="00D73EA5" w:rsidP="00D73EA5">
      <w:pPr>
        <w:rPr>
          <w:rFonts w:cs="Arial"/>
          <w:szCs w:val="20"/>
        </w:rPr>
      </w:pPr>
    </w:p>
    <w:p w14:paraId="03DD8BCD" w14:textId="4CC3053E" w:rsidR="00ED6F2E" w:rsidRPr="00221CE2" w:rsidRDefault="00ED6F2E" w:rsidP="00D73EA5">
      <w:pPr>
        <w:rPr>
          <w:rFonts w:cs="Arial"/>
          <w:b/>
          <w:szCs w:val="20"/>
        </w:rPr>
      </w:pPr>
      <w:r w:rsidRPr="00221CE2">
        <w:rPr>
          <w:rFonts w:cs="Arial"/>
          <w:b/>
          <w:szCs w:val="20"/>
        </w:rPr>
        <w:t>Termín dodání:</w:t>
      </w:r>
    </w:p>
    <w:p w14:paraId="3F1A9379" w14:textId="61C68A99" w:rsidR="00D73EA5" w:rsidRPr="00A65B3E" w:rsidRDefault="00D73EA5" w:rsidP="00856BF3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 xml:space="preserve">Doba </w:t>
      </w:r>
      <w:r w:rsidR="00D01A71" w:rsidRPr="00A65B3E">
        <w:rPr>
          <w:rFonts w:cs="Arial"/>
          <w:szCs w:val="20"/>
        </w:rPr>
        <w:t>pro dodání a instalaci bezpečnostních fólií</w:t>
      </w:r>
      <w:r w:rsidRPr="00A65B3E">
        <w:rPr>
          <w:rFonts w:cs="Arial"/>
          <w:szCs w:val="20"/>
        </w:rPr>
        <w:t xml:space="preserve"> </w:t>
      </w:r>
      <w:r w:rsidR="00856BF3" w:rsidRPr="00A65B3E">
        <w:rPr>
          <w:rFonts w:cs="Arial"/>
          <w:szCs w:val="20"/>
        </w:rPr>
        <w:t xml:space="preserve">bude maximálně </w:t>
      </w:r>
      <w:r w:rsidRPr="00A65B3E">
        <w:rPr>
          <w:rFonts w:cs="Arial"/>
          <w:szCs w:val="20"/>
        </w:rPr>
        <w:t>do 4 týdnů ode dne účinnosti smlouvy.</w:t>
      </w:r>
    </w:p>
    <w:p w14:paraId="23299362" w14:textId="77777777" w:rsidR="00FD05C7" w:rsidRPr="00A65B3E" w:rsidRDefault="00FD05C7">
      <w:pPr>
        <w:rPr>
          <w:rFonts w:cs="Arial"/>
          <w:szCs w:val="20"/>
        </w:rPr>
      </w:pPr>
    </w:p>
    <w:p w14:paraId="24F27129" w14:textId="62830276" w:rsidR="003D56CC" w:rsidRPr="00A65B3E" w:rsidRDefault="006D1E35">
      <w:pPr>
        <w:rPr>
          <w:rFonts w:cs="Arial"/>
          <w:b/>
          <w:szCs w:val="20"/>
        </w:rPr>
      </w:pPr>
      <w:r w:rsidRPr="00A65B3E">
        <w:rPr>
          <w:rFonts w:cs="Arial"/>
          <w:b/>
          <w:szCs w:val="20"/>
        </w:rPr>
        <w:t>Vyhrazená změna závazku</w:t>
      </w:r>
      <w:r w:rsidR="00C27205">
        <w:rPr>
          <w:rFonts w:cs="Arial"/>
          <w:b/>
          <w:szCs w:val="20"/>
        </w:rPr>
        <w:t xml:space="preserve"> pro r. 2025</w:t>
      </w:r>
    </w:p>
    <w:p w14:paraId="331CAE35" w14:textId="77777777" w:rsidR="003D6F81" w:rsidRPr="00A65B3E" w:rsidRDefault="003D6F81">
      <w:pPr>
        <w:rPr>
          <w:rFonts w:cs="Arial"/>
          <w:b/>
          <w:szCs w:val="20"/>
        </w:rPr>
      </w:pPr>
    </w:p>
    <w:p w14:paraId="060C3A5F" w14:textId="339981AA" w:rsidR="00E24DAD" w:rsidRPr="00A65B3E" w:rsidRDefault="006D1E35" w:rsidP="006D1E35">
      <w:pPr>
        <w:jc w:val="both"/>
        <w:rPr>
          <w:rFonts w:cs="Arial"/>
          <w:szCs w:val="20"/>
        </w:rPr>
      </w:pPr>
      <w:r w:rsidRPr="00A65B3E">
        <w:rPr>
          <w:rFonts w:cs="Arial"/>
          <w:szCs w:val="20"/>
        </w:rPr>
        <w:t xml:space="preserve">V rámci zakázky bude realizována ještě vyhrazená změna závazku na r. 2025, který bude spočívat v instalaci stejné bezpečnostní fólie uvedené v této technické specifikaci. Instalace bude provedena na výzvu </w:t>
      </w:r>
      <w:r w:rsidR="000C1A2B" w:rsidRPr="00A65B3E">
        <w:rPr>
          <w:rFonts w:cs="Arial"/>
          <w:szCs w:val="20"/>
        </w:rPr>
        <w:t>objednatele,</w:t>
      </w:r>
      <w:r w:rsidRPr="00A65B3E">
        <w:rPr>
          <w:rFonts w:cs="Arial"/>
          <w:szCs w:val="20"/>
        </w:rPr>
        <w:t xml:space="preserve"> a to v objektu Vinohradská 12, 1. patro - vnitroblok. Výzva objednatele </w:t>
      </w:r>
      <w:r w:rsidR="00F03883">
        <w:rPr>
          <w:rFonts w:cs="Arial"/>
          <w:szCs w:val="20"/>
        </w:rPr>
        <w:t xml:space="preserve">vůči dodavateli </w:t>
      </w:r>
      <w:r w:rsidRPr="00A65B3E">
        <w:rPr>
          <w:rFonts w:cs="Arial"/>
          <w:szCs w:val="20"/>
        </w:rPr>
        <w:t>bude provedena min. 21 dní před požadovaným termínem instalace bezpečnostní fólie. Konkrétní naceňovací údaje jsou uveden</w:t>
      </w:r>
      <w:r w:rsidR="000C1A2B">
        <w:rPr>
          <w:rFonts w:cs="Arial"/>
          <w:szCs w:val="20"/>
        </w:rPr>
        <w:t>y</w:t>
      </w:r>
      <w:r w:rsidRPr="00A65B3E">
        <w:rPr>
          <w:rFonts w:cs="Arial"/>
          <w:szCs w:val="20"/>
        </w:rPr>
        <w:t xml:space="preserve"> v </w:t>
      </w:r>
      <w:r w:rsidR="000C1A2B">
        <w:rPr>
          <w:rFonts w:cs="Arial"/>
          <w:szCs w:val="20"/>
        </w:rPr>
        <w:t xml:space="preserve">Tabulce pro výpočet nabídkové ceny – příloha č. </w:t>
      </w:r>
      <w:r w:rsidR="00575E34">
        <w:rPr>
          <w:rFonts w:cs="Arial"/>
          <w:szCs w:val="20"/>
        </w:rPr>
        <w:t>5</w:t>
      </w:r>
      <w:r w:rsidR="000C1A2B">
        <w:rPr>
          <w:rFonts w:cs="Arial"/>
          <w:szCs w:val="20"/>
        </w:rPr>
        <w:t xml:space="preserve"> Výzvy</w:t>
      </w:r>
      <w:r w:rsidR="00575E34">
        <w:rPr>
          <w:rFonts w:cs="Arial"/>
          <w:szCs w:val="20"/>
        </w:rPr>
        <w:t xml:space="preserve"> – Praha – Vinohradská 2025</w:t>
      </w:r>
      <w:r w:rsidRPr="00A65B3E">
        <w:rPr>
          <w:rFonts w:cs="Arial"/>
          <w:szCs w:val="20"/>
        </w:rPr>
        <w:t xml:space="preserve">. Instalace </w:t>
      </w:r>
      <w:r w:rsidR="0010749F">
        <w:rPr>
          <w:rFonts w:cs="Arial"/>
          <w:szCs w:val="20"/>
        </w:rPr>
        <w:t xml:space="preserve">těchto </w:t>
      </w:r>
      <w:r w:rsidRPr="00A65B3E">
        <w:rPr>
          <w:rFonts w:cs="Arial"/>
          <w:szCs w:val="20"/>
        </w:rPr>
        <w:t xml:space="preserve">bezpečnostních fólií by měla proběhnout nejpozději do </w:t>
      </w:r>
      <w:r w:rsidR="00ED6F2E" w:rsidRPr="00A65B3E">
        <w:rPr>
          <w:rFonts w:cs="Arial"/>
          <w:szCs w:val="20"/>
        </w:rPr>
        <w:t>31. 12. 2025</w:t>
      </w:r>
      <w:r w:rsidRPr="00A65B3E">
        <w:rPr>
          <w:rFonts w:cs="Arial"/>
          <w:szCs w:val="20"/>
        </w:rPr>
        <w:t>.</w:t>
      </w:r>
    </w:p>
    <w:p w14:paraId="54BFD4B8" w14:textId="17034874" w:rsidR="00484F39" w:rsidRPr="008C56A1" w:rsidRDefault="00484F39" w:rsidP="008C56A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84F39" w:rsidRPr="008C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3DF"/>
    <w:multiLevelType w:val="hybridMultilevel"/>
    <w:tmpl w:val="5A40A3E2"/>
    <w:lvl w:ilvl="0" w:tplc="5002AB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35ED0"/>
    <w:multiLevelType w:val="hybridMultilevel"/>
    <w:tmpl w:val="2E62C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51D7"/>
    <w:multiLevelType w:val="hybridMultilevel"/>
    <w:tmpl w:val="A812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44FF"/>
    <w:multiLevelType w:val="hybridMultilevel"/>
    <w:tmpl w:val="509CFA50"/>
    <w:lvl w:ilvl="0" w:tplc="5B008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1B16"/>
    <w:multiLevelType w:val="hybridMultilevel"/>
    <w:tmpl w:val="A84AD198"/>
    <w:lvl w:ilvl="0" w:tplc="44F856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396794"/>
    <w:multiLevelType w:val="hybridMultilevel"/>
    <w:tmpl w:val="26061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6BA"/>
    <w:multiLevelType w:val="hybridMultilevel"/>
    <w:tmpl w:val="EA8A7528"/>
    <w:lvl w:ilvl="0" w:tplc="432ED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F7"/>
    <w:rsid w:val="000235D3"/>
    <w:rsid w:val="0004737A"/>
    <w:rsid w:val="0005374A"/>
    <w:rsid w:val="00070D6E"/>
    <w:rsid w:val="000C1A2B"/>
    <w:rsid w:val="000F6FD1"/>
    <w:rsid w:val="0010749F"/>
    <w:rsid w:val="00136C5C"/>
    <w:rsid w:val="001B5B83"/>
    <w:rsid w:val="001C0A10"/>
    <w:rsid w:val="001C36FC"/>
    <w:rsid w:val="00221CE2"/>
    <w:rsid w:val="00224349"/>
    <w:rsid w:val="00287687"/>
    <w:rsid w:val="002C6D0C"/>
    <w:rsid w:val="003C3B19"/>
    <w:rsid w:val="003D56CC"/>
    <w:rsid w:val="003D6F81"/>
    <w:rsid w:val="0047535F"/>
    <w:rsid w:val="00484F39"/>
    <w:rsid w:val="004871C6"/>
    <w:rsid w:val="004B07F7"/>
    <w:rsid w:val="004C7880"/>
    <w:rsid w:val="00560071"/>
    <w:rsid w:val="00575E34"/>
    <w:rsid w:val="005E3904"/>
    <w:rsid w:val="005F3C35"/>
    <w:rsid w:val="005F710F"/>
    <w:rsid w:val="006C75C9"/>
    <w:rsid w:val="006D1E35"/>
    <w:rsid w:val="00856BF3"/>
    <w:rsid w:val="008C56A1"/>
    <w:rsid w:val="008F1CF5"/>
    <w:rsid w:val="00907588"/>
    <w:rsid w:val="0093354E"/>
    <w:rsid w:val="0093459F"/>
    <w:rsid w:val="009C30B0"/>
    <w:rsid w:val="009D25CE"/>
    <w:rsid w:val="009F2057"/>
    <w:rsid w:val="00A65B3E"/>
    <w:rsid w:val="00A66519"/>
    <w:rsid w:val="00B36ADD"/>
    <w:rsid w:val="00B57973"/>
    <w:rsid w:val="00C27205"/>
    <w:rsid w:val="00C307B9"/>
    <w:rsid w:val="00C77FAD"/>
    <w:rsid w:val="00CF07F7"/>
    <w:rsid w:val="00D01A71"/>
    <w:rsid w:val="00D23CA6"/>
    <w:rsid w:val="00D73EA5"/>
    <w:rsid w:val="00DD0473"/>
    <w:rsid w:val="00DF40C6"/>
    <w:rsid w:val="00E0262F"/>
    <w:rsid w:val="00E24DAD"/>
    <w:rsid w:val="00EC4225"/>
    <w:rsid w:val="00ED30F4"/>
    <w:rsid w:val="00ED6F2E"/>
    <w:rsid w:val="00F03883"/>
    <w:rsid w:val="00F9587C"/>
    <w:rsid w:val="00FD05C7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33C0"/>
  <w15:chartTrackingRefBased/>
  <w15:docId w15:val="{BD6078E2-DE8B-4174-93CE-87475B2A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9F2057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"/>
    <w:basedOn w:val="Normln"/>
    <w:uiPriority w:val="34"/>
    <w:qFormat/>
    <w:rsid w:val="00C77F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66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5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51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65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6519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9AFC-46AE-4CC4-9CEB-5C9E0B18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Miloslav</dc:creator>
  <cp:keywords/>
  <dc:description/>
  <cp:lastModifiedBy>Rajtmajer Stanislav</cp:lastModifiedBy>
  <cp:revision>11</cp:revision>
  <dcterms:created xsi:type="dcterms:W3CDTF">2024-10-15T13:05:00Z</dcterms:created>
  <dcterms:modified xsi:type="dcterms:W3CDTF">2024-10-17T06:01:00Z</dcterms:modified>
</cp:coreProperties>
</file>