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CD4F8D" w:rsidRDefault="00CD4F8D" w:rsidP="004E1EE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D4F8D">
              <w:rPr>
                <w:rFonts w:ascii="Arial" w:hAnsi="Arial" w:cs="Arial"/>
                <w:bCs/>
                <w:color w:val="FF0000"/>
                <w:sz w:val="24"/>
              </w:rPr>
              <w:t>Těžební činnost v městských lesích města uherský brod v roce 202</w:t>
            </w:r>
            <w:r w:rsidR="004E1EEF">
              <w:rPr>
                <w:rFonts w:ascii="Arial" w:hAnsi="Arial" w:cs="Arial"/>
                <w:bCs/>
                <w:color w:val="FF0000"/>
                <w:sz w:val="24"/>
              </w:rPr>
              <w:t>5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342C2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342C2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1EE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342C2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4F8D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49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37</cp:revision>
  <cp:lastPrinted>2021-05-24T06:24:00Z</cp:lastPrinted>
  <dcterms:created xsi:type="dcterms:W3CDTF">2019-09-19T08:40:00Z</dcterms:created>
  <dcterms:modified xsi:type="dcterms:W3CDTF">2025-01-27T07:23:00Z</dcterms:modified>
</cp:coreProperties>
</file>