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777777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35EADBDD"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9D031D">
        <w:rPr>
          <w:rFonts w:ascii="Times New Roman" w:hAnsi="Times New Roman"/>
          <w:color w:val="000000"/>
        </w:rPr>
        <w:t>Mgr</w:t>
      </w:r>
      <w:r w:rsidR="006F4D91">
        <w:rPr>
          <w:rFonts w:ascii="Times New Roman" w:hAnsi="Times New Roman"/>
          <w:color w:val="000000"/>
        </w:rPr>
        <w:t xml:space="preserve">. </w:t>
      </w:r>
      <w:r>
        <w:rPr>
          <w:rFonts w:ascii="Times New Roman" w:hAnsi="Times New Roman"/>
          <w:color w:val="000000"/>
        </w:rPr>
        <w:t>Richard Vereš</w:t>
      </w:r>
      <w:r w:rsidRPr="00C84688">
        <w:rPr>
          <w:rFonts w:ascii="Times New Roman" w:hAnsi="Times New Roman"/>
          <w:color w:val="000000"/>
        </w:rPr>
        <w:t xml:space="preserve">, starosta městského obvodu Slezská Ostrava </w:t>
      </w:r>
    </w:p>
    <w:p w14:paraId="0E0176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D031D">
        <w:rPr>
          <w:rFonts w:ascii="Times New Roman" w:hAnsi="Times New Roman"/>
          <w:color w:val="000000"/>
        </w:rPr>
        <w:t>Mgr</w:t>
      </w:r>
      <w:r w:rsidR="006F4D91">
        <w:rPr>
          <w:rFonts w:ascii="Times New Roman" w:hAnsi="Times New Roman"/>
          <w:color w:val="000000"/>
        </w:rPr>
        <w:t xml:space="preserve">. </w:t>
      </w:r>
      <w:r>
        <w:rPr>
          <w:rFonts w:ascii="Times New Roman" w:hAnsi="Times New Roman"/>
          <w:color w:val="000000"/>
        </w:rPr>
        <w:t>Richard Vereš</w:t>
      </w:r>
      <w:r w:rsidRPr="00C84688">
        <w:rPr>
          <w:rFonts w:ascii="Times New Roman" w:hAnsi="Times New Roman"/>
          <w:color w:val="000000"/>
        </w:rPr>
        <w:t xml:space="preserve">, starosta městského obvodu Slezská Ostrava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0EF6806D"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 xml:space="preserve">na straně jedné jako </w:t>
      </w:r>
      <w:r w:rsidR="001400A4">
        <w:rPr>
          <w:rFonts w:ascii="Times New Roman" w:eastAsia="Times New Roman" w:hAnsi="Times New Roman"/>
          <w:i/>
          <w:lang w:eastAsia="cs-CZ"/>
        </w:rPr>
        <w:t>o</w:t>
      </w:r>
      <w:r w:rsidRPr="00C84688">
        <w:rPr>
          <w:rFonts w:ascii="Times New Roman" w:eastAsia="Times New Roman" w:hAnsi="Times New Roman"/>
          <w:i/>
          <w:lang w:eastAsia="cs-CZ"/>
        </w:rPr>
        <w:t>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4C9E0672" w14:textId="30DB858B" w:rsidR="00C84688" w:rsidRPr="00EF442A" w:rsidRDefault="00C84688" w:rsidP="00EF442A">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75CB1392"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D0C01" w:rsidRPr="008D0C01">
        <w:rPr>
          <w:rFonts w:ascii="Times New Roman" w:hAnsi="Times New Roman"/>
          <w:b/>
          <w:bCs/>
        </w:rPr>
        <w:t>„Regenerace sídliště Kamenec – II. etapa“</w:t>
      </w:r>
      <w:r w:rsidR="008356E3" w:rsidRPr="00A932E4">
        <w:rPr>
          <w:rFonts w:ascii="Times New Roman" w:hAnsi="Times New Roman"/>
          <w:bCs/>
        </w:rPr>
        <w:t>,</w:t>
      </w:r>
      <w:r w:rsidRPr="00A932E4">
        <w:rPr>
          <w:rFonts w:ascii="Times New Roman" w:hAnsi="Times New Roman"/>
          <w:bCs/>
        </w:rPr>
        <w:t xml:space="preserve"> v souladu se</w:t>
      </w:r>
      <w:r w:rsidR="00E04D69">
        <w:rPr>
          <w:rFonts w:ascii="Times New Roman" w:hAnsi="Times New Roman"/>
          <w:bCs/>
        </w:rPr>
        <w:t> </w:t>
      </w:r>
      <w:r w:rsidRPr="00A932E4">
        <w:rPr>
          <w:rFonts w:ascii="Times New Roman" w:hAnsi="Times New Roman"/>
          <w:bCs/>
        </w:rPr>
        <w:t xml:space="preserve">zákonem č. 134/2016 Sb. o 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 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 xml:space="preserve">dále jen </w:t>
      </w:r>
      <w:r w:rsidR="00E12225" w:rsidRPr="00D46E5C">
        <w:rPr>
          <w:rFonts w:ascii="Times New Roman" w:hAnsi="Times New Roman"/>
          <w:bCs/>
          <w:i/>
          <w:iCs/>
        </w:rPr>
        <w:t>„</w:t>
      </w:r>
      <w:r w:rsidRPr="00D46E5C">
        <w:rPr>
          <w:rFonts w:ascii="Times New Roman" w:hAnsi="Times New Roman"/>
          <w:b/>
          <w:i/>
          <w:iCs/>
        </w:rPr>
        <w:t>DPH</w:t>
      </w:r>
      <w:r w:rsidR="00E12225" w:rsidRPr="00D46E5C">
        <w:rPr>
          <w:rFonts w:ascii="Times New Roman" w:hAnsi="Times New Roman"/>
          <w:bCs/>
          <w:i/>
          <w:i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728F122C" w14:textId="57126DF3" w:rsidR="002B023E" w:rsidRPr="00A932E4" w:rsidRDefault="00C84688" w:rsidP="003D5CFE">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w:t>
      </w:r>
      <w:r w:rsidR="008D0C01" w:rsidRPr="00A932E4">
        <w:rPr>
          <w:rFonts w:ascii="Times New Roman" w:eastAsia="Times New Roman" w:hAnsi="Times New Roman"/>
          <w:snapToGrid w:val="0"/>
          <w:lang w:eastAsia="cs-CZ"/>
        </w:rPr>
        <w:t>nazvané</w:t>
      </w:r>
      <w:r w:rsidR="008D0C01" w:rsidRPr="008D0C01">
        <w:rPr>
          <w:rFonts w:ascii="Times New Roman" w:eastAsia="Times New Roman" w:hAnsi="Times New Roman"/>
          <w:b/>
          <w:bCs/>
          <w:snapToGrid w:val="0"/>
          <w:lang w:eastAsia="cs-CZ"/>
        </w:rPr>
        <w:t xml:space="preserve"> „Regenerace sídliště Kamenec – II. etapa“</w:t>
      </w:r>
      <w:r w:rsidR="00506AEF" w:rsidRPr="00A932E4">
        <w:rPr>
          <w:rFonts w:ascii="Times New Roman" w:eastAsia="Times New Roman" w:hAnsi="Times New Roman"/>
          <w:snapToGrid w:val="0"/>
          <w:lang w:eastAsia="cs-CZ"/>
        </w:rPr>
        <w:t>.</w:t>
      </w:r>
      <w:r w:rsidRPr="00A932E4">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 xml:space="preserve">Dílo bude provedeno v souladu s projektovou dokumentací </w:t>
      </w:r>
      <w:r w:rsidR="008D0C01">
        <w:rPr>
          <w:rFonts w:ascii="Times New Roman" w:eastAsia="Times New Roman" w:hAnsi="Times New Roman"/>
          <w:snapToGrid w:val="0"/>
          <w:lang w:eastAsia="cs-CZ"/>
        </w:rPr>
        <w:t>„Vypracování projektových dokumentací k akci Regenerace sídliště Kamenec</w:t>
      </w:r>
      <w:r w:rsidR="001400A4">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z </w:t>
      </w:r>
      <w:r w:rsidR="00646119" w:rsidRPr="00A932E4">
        <w:rPr>
          <w:rFonts w:ascii="Times New Roman" w:eastAsia="Times New Roman" w:hAnsi="Times New Roman"/>
          <w:snapToGrid w:val="0"/>
          <w:lang w:eastAsia="cs-CZ"/>
        </w:rPr>
        <w:t>0</w:t>
      </w:r>
      <w:r w:rsidR="008D0C01">
        <w:rPr>
          <w:rFonts w:ascii="Times New Roman" w:eastAsia="Times New Roman" w:hAnsi="Times New Roman"/>
          <w:snapToGrid w:val="0"/>
          <w:lang w:eastAsia="cs-CZ"/>
        </w:rPr>
        <w:t>7</w:t>
      </w:r>
      <w:r w:rsidR="00E75D84" w:rsidRPr="00A932E4">
        <w:rPr>
          <w:rFonts w:ascii="Times New Roman" w:eastAsia="Times New Roman" w:hAnsi="Times New Roman"/>
          <w:snapToGrid w:val="0"/>
          <w:lang w:eastAsia="cs-CZ"/>
        </w:rPr>
        <w:t>/20</w:t>
      </w:r>
      <w:r w:rsidR="008D0C01">
        <w:rPr>
          <w:rFonts w:ascii="Times New Roman" w:eastAsia="Times New Roman" w:hAnsi="Times New Roman"/>
          <w:snapToGrid w:val="0"/>
          <w:lang w:eastAsia="cs-CZ"/>
        </w:rPr>
        <w:t>17</w:t>
      </w:r>
      <w:r w:rsidR="00E75D84" w:rsidRPr="00A932E4">
        <w:rPr>
          <w:rFonts w:ascii="Times New Roman" w:eastAsia="Times New Roman" w:hAnsi="Times New Roman"/>
          <w:snapToGrid w:val="0"/>
          <w:lang w:eastAsia="cs-CZ"/>
        </w:rPr>
        <w:t xml:space="preserve">, zpracovanou projekční kanceláři </w:t>
      </w:r>
      <w:proofErr w:type="spellStart"/>
      <w:r w:rsidR="008D0C01">
        <w:rPr>
          <w:rFonts w:ascii="Times New Roman" w:eastAsia="Times New Roman" w:hAnsi="Times New Roman"/>
          <w:snapToGrid w:val="0"/>
          <w:lang w:eastAsia="cs-CZ"/>
        </w:rPr>
        <w:t>HaskoningDHV</w:t>
      </w:r>
      <w:proofErr w:type="spellEnd"/>
      <w:r w:rsidR="008D0C01">
        <w:rPr>
          <w:rFonts w:ascii="Times New Roman" w:eastAsia="Times New Roman" w:hAnsi="Times New Roman"/>
          <w:snapToGrid w:val="0"/>
          <w:lang w:eastAsia="cs-CZ"/>
        </w:rPr>
        <w:t xml:space="preserve"> Czech Republic, spol. s r.o.</w:t>
      </w:r>
      <w:r w:rsidR="00E75D84" w:rsidRPr="00A932E4">
        <w:rPr>
          <w:rFonts w:ascii="Times New Roman" w:eastAsia="Times New Roman" w:hAnsi="Times New Roman"/>
          <w:snapToGrid w:val="0"/>
          <w:lang w:eastAsia="cs-CZ"/>
        </w:rPr>
        <w:t>, IČO:</w:t>
      </w:r>
      <w:r w:rsidR="00E04D69">
        <w:rPr>
          <w:rFonts w:ascii="Times New Roman" w:eastAsia="Times New Roman" w:hAnsi="Times New Roman"/>
          <w:snapToGrid w:val="0"/>
          <w:lang w:eastAsia="cs-CZ"/>
        </w:rPr>
        <w:t> </w:t>
      </w:r>
      <w:r w:rsidR="00B65AA1">
        <w:rPr>
          <w:rFonts w:ascii="Times New Roman" w:eastAsia="Times New Roman" w:hAnsi="Times New Roman"/>
          <w:snapToGrid w:val="0"/>
          <w:lang w:eastAsia="cs-CZ"/>
        </w:rPr>
        <w:t>45797170</w:t>
      </w:r>
      <w:r w:rsidR="00E75D84" w:rsidRPr="00A932E4">
        <w:rPr>
          <w:rFonts w:ascii="Times New Roman" w:eastAsia="Times New Roman" w:hAnsi="Times New Roman"/>
          <w:snapToGrid w:val="0"/>
          <w:lang w:eastAsia="cs-CZ"/>
        </w:rPr>
        <w:t xml:space="preserve"> a v souladu se zájmy Objednatele (dále jen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Dílo</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či</w:t>
      </w:r>
      <w:r w:rsidR="00337918" w:rsidRPr="00A932E4">
        <w:rPr>
          <w:rFonts w:ascii="Times New Roman" w:eastAsia="Times New Roman" w:hAnsi="Times New Roman"/>
          <w:snapToGrid w:val="0"/>
          <w:lang w:eastAsia="cs-CZ"/>
        </w:rPr>
        <w:t>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Předmět plnění</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w:t>
      </w:r>
    </w:p>
    <w:p w14:paraId="5DEFD7AD" w14:textId="605696AF" w:rsidR="003E14A5" w:rsidRPr="00D46E5C" w:rsidRDefault="003E14A5" w:rsidP="00D46E5C">
      <w:pPr>
        <w:numPr>
          <w:ilvl w:val="0"/>
          <w:numId w:val="48"/>
        </w:numPr>
        <w:spacing w:after="0" w:line="240" w:lineRule="auto"/>
        <w:ind w:left="425" w:hanging="425"/>
        <w:jc w:val="both"/>
        <w:rPr>
          <w:rFonts w:ascii="Times New Roman" w:eastAsia="Times New Roman" w:hAnsi="Times New Roman"/>
          <w:snapToGrid w:val="0"/>
          <w:lang w:eastAsia="cs-CZ"/>
        </w:rPr>
      </w:pPr>
      <w:bookmarkStart w:id="0" w:name="_Hlk188868321"/>
      <w:r w:rsidRPr="002B023E">
        <w:rPr>
          <w:rFonts w:ascii="Times New Roman" w:eastAsia="Times New Roman" w:hAnsi="Times New Roman"/>
          <w:snapToGrid w:val="0"/>
          <w:lang w:eastAsia="cs-CZ"/>
        </w:rPr>
        <w:t xml:space="preserve">V rozsahu Díla bude provedena regenerace sídliště, kdy cílem je </w:t>
      </w:r>
      <w:r w:rsidRPr="00D46E5C">
        <w:rPr>
          <w:rFonts w:ascii="Times New Roman" w:eastAsia="Times New Roman" w:hAnsi="Times New Roman"/>
          <w:snapToGrid w:val="0"/>
          <w:lang w:eastAsia="cs-CZ"/>
        </w:rPr>
        <w:t>vytvoření příjemného, moderní</w:t>
      </w:r>
      <w:r w:rsidR="002B023E">
        <w:rPr>
          <w:rFonts w:ascii="Times New Roman" w:eastAsia="Times New Roman" w:hAnsi="Times New Roman"/>
          <w:snapToGrid w:val="0"/>
          <w:lang w:eastAsia="cs-CZ"/>
        </w:rPr>
        <w:t>m</w:t>
      </w:r>
      <w:r w:rsidRPr="00D46E5C">
        <w:rPr>
          <w:rFonts w:ascii="Times New Roman" w:eastAsia="Times New Roman" w:hAnsi="Times New Roman"/>
          <w:snapToGrid w:val="0"/>
          <w:lang w:eastAsia="cs-CZ"/>
        </w:rPr>
        <w:t xml:space="preserve"> požadavkům odpovídajícího prostředí pro obyvatele. To předpokládá zbavit území jeho mono funkčnosti</w:t>
      </w:r>
      <w:r w:rsidR="002B023E">
        <w:rPr>
          <w:rFonts w:ascii="Times New Roman" w:eastAsia="Times New Roman" w:hAnsi="Times New Roman"/>
          <w:snapToGrid w:val="0"/>
          <w:lang w:eastAsia="cs-CZ"/>
        </w:rPr>
        <w:t xml:space="preserve"> a</w:t>
      </w:r>
      <w:r w:rsidRPr="00D46E5C">
        <w:rPr>
          <w:rFonts w:ascii="Times New Roman" w:eastAsia="Times New Roman" w:hAnsi="Times New Roman"/>
          <w:snapToGrid w:val="0"/>
          <w:lang w:eastAsia="cs-CZ"/>
        </w:rPr>
        <w:t xml:space="preserve"> zlepšit podmínky pro bezpečnost obyvatel na sídlišti. Důležitým cílem předmětu Díla plnění je kvalitněji propojit jednotlivé bloky domů, aby nedocházelo k vyšlapávání cestiček v trávě. V místech vyšlapaných pěšin budou realizovány nové pěší komunikace. Veškeré stávající opravované pěší komunikace jsou navrženy s povrchem rozebíratelným, vozidlové komunikace určené k opravě jsou navrženy s živičným povrchem. Dojde ke zlepšení vzhledu a funkčnosti veřejné zeleně. Stávající zeleň bude doplněna o nové dřeviny. Z hlediska využívání a technického stavu byly posouzeny rovněž plochy sportovišť s návrhem na jejich odstranění či rekonstrukci. Bude provedena rekonstrukce dětského hřiště u domu Bohumínská</w:t>
      </w:r>
      <w:r w:rsidR="00D46E5C">
        <w:rPr>
          <w:rFonts w:ascii="Times New Roman" w:eastAsia="Times New Roman" w:hAnsi="Times New Roman"/>
          <w:snapToGrid w:val="0"/>
          <w:lang w:eastAsia="cs-CZ"/>
        </w:rPr>
        <w:t xml:space="preserve"> 1387/73.</w:t>
      </w:r>
      <w:r w:rsidRPr="00D46E5C">
        <w:rPr>
          <w:rFonts w:ascii="Times New Roman" w:eastAsia="Times New Roman" w:hAnsi="Times New Roman"/>
          <w:snapToGrid w:val="0"/>
          <w:lang w:eastAsia="cs-CZ"/>
        </w:rPr>
        <w:t xml:space="preserve"> Stávající vyhrazená místa pro odpadové </w:t>
      </w:r>
      <w:bookmarkStart w:id="1" w:name="_Hlk109920566"/>
      <w:r w:rsidRPr="00D46E5C">
        <w:rPr>
          <w:rFonts w:ascii="Times New Roman" w:eastAsia="Times New Roman" w:hAnsi="Times New Roman"/>
          <w:snapToGrid w:val="0"/>
          <w:lang w:eastAsia="cs-CZ"/>
        </w:rPr>
        <w:t xml:space="preserve">kontejnery budou ohrazena. Doplněné veřejné osvětlení bude vzhledově </w:t>
      </w:r>
      <w:r w:rsidRPr="00D46E5C">
        <w:rPr>
          <w:rFonts w:ascii="Times New Roman" w:eastAsia="Times New Roman" w:hAnsi="Times New Roman"/>
          <w:snapToGrid w:val="0"/>
          <w:lang w:eastAsia="cs-CZ"/>
        </w:rPr>
        <w:lastRenderedPageBreak/>
        <w:t>ve</w:t>
      </w:r>
      <w:r w:rsidR="00EF70CC">
        <w:rPr>
          <w:rFonts w:ascii="Times New Roman" w:eastAsia="Times New Roman" w:hAnsi="Times New Roman"/>
          <w:snapToGrid w:val="0"/>
          <w:lang w:eastAsia="cs-CZ"/>
        </w:rPr>
        <w:t> </w:t>
      </w:r>
      <w:r w:rsidRPr="00D46E5C">
        <w:rPr>
          <w:rFonts w:ascii="Times New Roman" w:eastAsia="Times New Roman" w:hAnsi="Times New Roman"/>
          <w:snapToGrid w:val="0"/>
          <w:lang w:eastAsia="cs-CZ"/>
        </w:rPr>
        <w:t xml:space="preserve">stejném provedení, jako je stávající veřejné osvětlení, budou osazena stejná nebo vzhledově podobná svítidla s výbojkovými světelnými zdroji. </w:t>
      </w:r>
      <w:bookmarkEnd w:id="1"/>
      <w:r w:rsidRPr="00D46E5C">
        <w:rPr>
          <w:rFonts w:ascii="Times New Roman" w:eastAsia="Times New Roman" w:hAnsi="Times New Roman"/>
          <w:snapToGrid w:val="0"/>
          <w:lang w:eastAsia="cs-CZ"/>
        </w:rPr>
        <w:t xml:space="preserve">Součástí </w:t>
      </w:r>
      <w:r w:rsidR="002B023E">
        <w:rPr>
          <w:rFonts w:ascii="Times New Roman" w:eastAsia="Times New Roman" w:hAnsi="Times New Roman"/>
          <w:snapToGrid w:val="0"/>
          <w:lang w:eastAsia="cs-CZ"/>
        </w:rPr>
        <w:t>Díla</w:t>
      </w:r>
      <w:r w:rsidR="002B023E" w:rsidRPr="00D46E5C">
        <w:rPr>
          <w:rFonts w:ascii="Times New Roman" w:eastAsia="Times New Roman" w:hAnsi="Times New Roman"/>
          <w:snapToGrid w:val="0"/>
          <w:lang w:eastAsia="cs-CZ"/>
        </w:rPr>
        <w:t xml:space="preserve"> </w:t>
      </w:r>
      <w:r w:rsidRPr="00D46E5C">
        <w:rPr>
          <w:rFonts w:ascii="Times New Roman" w:eastAsia="Times New Roman" w:hAnsi="Times New Roman"/>
          <w:snapToGrid w:val="0"/>
          <w:lang w:eastAsia="cs-CZ"/>
        </w:rPr>
        <w:t>jsou demolice stávajících vozovek, nefunkčního hřiště a mobiliáře.</w:t>
      </w:r>
    </w:p>
    <w:bookmarkEnd w:id="0"/>
    <w:p w14:paraId="00A2A44E" w14:textId="553778D9"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A932E4">
      <w:pPr>
        <w:numPr>
          <w:ilvl w:val="0"/>
          <w:numId w:val="48"/>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28C3A2C5" w14:textId="5917ADD8" w:rsidR="006C37D2" w:rsidRPr="00D46E5C" w:rsidRDefault="00C84688" w:rsidP="00D46E5C">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3E14A5">
        <w:rPr>
          <w:rFonts w:ascii="Times New Roman" w:eastAsia="Times New Roman" w:hAnsi="Times New Roman"/>
          <w:lang w:eastAsia="cs-CZ"/>
        </w:rPr>
        <w:t xml:space="preserve">Cena za Dílo ve výši </w:t>
      </w:r>
      <w:r w:rsidRPr="00D46E5C">
        <w:rPr>
          <w:rFonts w:ascii="Times New Roman" w:eastAsia="Times New Roman" w:hAnsi="Times New Roman"/>
          <w:b/>
          <w:bCs/>
          <w:highlight w:val="yellow"/>
          <w:lang w:eastAsia="cs-CZ"/>
        </w:rPr>
        <w:t>………………………</w:t>
      </w:r>
      <w:r w:rsidRPr="00624F5F">
        <w:rPr>
          <w:rFonts w:ascii="Times New Roman" w:eastAsia="Times New Roman" w:hAnsi="Times New Roman"/>
          <w:b/>
          <w:bCs/>
          <w:lang w:eastAsia="cs-CZ"/>
        </w:rPr>
        <w:t xml:space="preserve"> Kč bez DPH</w:t>
      </w:r>
      <w:r w:rsidRPr="003E14A5">
        <w:rPr>
          <w:rFonts w:ascii="Times New Roman" w:eastAsia="Times New Roman" w:hAnsi="Times New Roman"/>
          <w:lang w:eastAsia="cs-CZ"/>
        </w:rPr>
        <w:t xml:space="preserve"> je stanovena ve smyslu nabídky Zhotovitele (s odkazem na rozpočet, který tvoří přílohu </w:t>
      </w:r>
      <w:r w:rsidR="00624F5F">
        <w:rPr>
          <w:rFonts w:ascii="Times New Roman" w:eastAsia="Times New Roman" w:hAnsi="Times New Roman"/>
          <w:lang w:eastAsia="cs-CZ"/>
        </w:rPr>
        <w:t xml:space="preserve">č. 1 </w:t>
      </w:r>
      <w:r w:rsidR="00E12225" w:rsidRPr="003E14A5">
        <w:rPr>
          <w:rFonts w:ascii="Times New Roman" w:eastAsia="Times New Roman" w:hAnsi="Times New Roman"/>
          <w:lang w:eastAsia="cs-CZ"/>
        </w:rPr>
        <w:t xml:space="preserve">této </w:t>
      </w:r>
      <w:r w:rsidRPr="003E14A5">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006C37D2" w:rsidRPr="003E14A5">
        <w:rPr>
          <w:rFonts w:ascii="Times New Roman" w:eastAsia="Times New Roman" w:hAnsi="Times New Roman"/>
          <w:lang w:eastAsia="cs-CZ"/>
        </w:rPr>
        <w:t xml:space="preserve"> </w:t>
      </w:r>
    </w:p>
    <w:p w14:paraId="5CC2D3B5" w14:textId="28499A75" w:rsidR="008D0012" w:rsidRPr="0049589E" w:rsidRDefault="008D0012" w:rsidP="008D0012">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49589E">
        <w:rPr>
          <w:rFonts w:ascii="Times New Roman" w:eastAsia="Times New Roman" w:hAnsi="Times New Roman"/>
          <w:lang w:eastAsia="cs-CZ"/>
        </w:rPr>
        <w:t xml:space="preserve">Cena za Dílo je závazně uvedena bez DPH – Objednatel prohlašuje, že uvedené plnění </w:t>
      </w:r>
      <w:r w:rsidRPr="003E14A5">
        <w:rPr>
          <w:rFonts w:ascii="Times New Roman" w:eastAsia="Times New Roman" w:hAnsi="Times New Roman"/>
          <w:lang w:eastAsia="cs-CZ"/>
        </w:rPr>
        <w:t xml:space="preserve">nebude používáno k ekonomické činnosti a nebude tak aplikován režim přenesení daňové povinnosti dle </w:t>
      </w:r>
      <w:r w:rsidRPr="0049589E">
        <w:rPr>
          <w:rFonts w:ascii="Times New Roman" w:eastAsia="Times New Roman" w:hAnsi="Times New Roman"/>
          <w:lang w:eastAsia="cs-CZ"/>
        </w:rPr>
        <w:t xml:space="preserve">ustanovení § 92a a násl. zákona č. 235/2004 Sb., o dani z přidané hodnoty, ve znění pozdějších předpisů (dále jen </w:t>
      </w:r>
      <w:r w:rsidRPr="0049589E">
        <w:rPr>
          <w:rFonts w:ascii="Times New Roman" w:eastAsia="Times New Roman" w:hAnsi="Times New Roman"/>
          <w:i/>
          <w:lang w:eastAsia="cs-CZ"/>
        </w:rPr>
        <w:t>„</w:t>
      </w:r>
      <w:r w:rsidRPr="0049589E">
        <w:rPr>
          <w:rFonts w:ascii="Times New Roman" w:eastAsia="Times New Roman" w:hAnsi="Times New Roman"/>
          <w:b/>
          <w:i/>
          <w:lang w:eastAsia="cs-CZ"/>
        </w:rPr>
        <w:t>Zákon o DPH</w:t>
      </w:r>
      <w:r w:rsidRPr="0049589E">
        <w:rPr>
          <w:rFonts w:ascii="Times New Roman" w:eastAsia="Times New Roman" w:hAnsi="Times New Roman"/>
          <w:i/>
          <w:lang w:eastAsia="cs-CZ"/>
        </w:rPr>
        <w:t>“</w:t>
      </w:r>
      <w:r w:rsidRPr="0049589E">
        <w:rPr>
          <w:rFonts w:ascii="Times New Roman" w:eastAsia="Times New Roman" w:hAnsi="Times New Roman"/>
          <w:lang w:eastAsia="cs-CZ"/>
        </w:rPr>
        <w:t xml:space="preserve">).  </w:t>
      </w:r>
    </w:p>
    <w:p w14:paraId="0D54300F" w14:textId="77777777" w:rsidR="00C84688" w:rsidRPr="00D569AC" w:rsidRDefault="00C84688" w:rsidP="00C84688">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49589E">
        <w:rPr>
          <w:rFonts w:ascii="Times New Roman" w:eastAsia="Times New Roman" w:hAnsi="Times New Roman"/>
          <w:lang w:eastAsia="cs-CZ"/>
        </w:rPr>
        <w:t>DPH bude stanovena ve výši dle právních předpisů platných ke dni zdanitelného plnění a</w:t>
      </w:r>
      <w:r w:rsidR="00337918" w:rsidRPr="0049589E">
        <w:rPr>
          <w:rFonts w:ascii="Times New Roman" w:eastAsia="Times New Roman" w:hAnsi="Times New Roman"/>
          <w:lang w:eastAsia="cs-CZ"/>
        </w:rPr>
        <w:t> </w:t>
      </w:r>
      <w:r w:rsidRPr="0049589E">
        <w:rPr>
          <w:rFonts w:ascii="Times New Roman" w:eastAsia="Times New Roman" w:hAnsi="Times New Roman"/>
          <w:lang w:eastAsia="cs-CZ"/>
        </w:rPr>
        <w:t>vyplývá</w:t>
      </w:r>
      <w:r w:rsidRPr="00D569AC">
        <w:rPr>
          <w:rFonts w:ascii="Times New Roman" w:eastAsia="Times New Roman" w:hAnsi="Times New Roman"/>
          <w:lang w:eastAsia="cs-CZ"/>
        </w:rPr>
        <w:t xml:space="preserve">-li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43C71C9C" w:rsidR="00637DE5" w:rsidRPr="00174D36" w:rsidRDefault="00C84688"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w:t>
      </w:r>
      <w:r w:rsidR="00624F5F">
        <w:rPr>
          <w:rFonts w:ascii="Times New Roman" w:hAnsi="Times New Roman"/>
        </w:rPr>
        <w:t> </w:t>
      </w:r>
      <w:r w:rsidRPr="00977A6A">
        <w:rPr>
          <w:rFonts w:ascii="Times New Roman" w:hAnsi="Times New Roman"/>
        </w:rPr>
        <w:t>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 xml:space="preserve">na doplnění zdůvodnění víceprací/méněprací a změn technického řešení bez vlivu na cenu, která mohou být vyvolána, </w:t>
      </w:r>
      <w:r w:rsidRPr="00727601">
        <w:rPr>
          <w:rFonts w:ascii="Times New Roman" w:hAnsi="Times New Roman"/>
        </w:rPr>
        <w:lastRenderedPageBreak/>
        <w:t>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0F1AB9">
      <w:pPr>
        <w:numPr>
          <w:ilvl w:val="0"/>
          <w:numId w:val="30"/>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A932E4">
      <w:pPr>
        <w:numPr>
          <w:ilvl w:val="0"/>
          <w:numId w:val="30"/>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C84688">
      <w:pPr>
        <w:numPr>
          <w:ilvl w:val="0"/>
          <w:numId w:val="26"/>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1747DED" w14:textId="77777777" w:rsidR="00C45C75" w:rsidRDefault="00C45C75" w:rsidP="00C45C75">
      <w:pPr>
        <w:numPr>
          <w:ilvl w:val="0"/>
          <w:numId w:val="37"/>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Místem plnění Díla jsou pozemky a </w:t>
      </w:r>
      <w:r>
        <w:rPr>
          <w:rFonts w:ascii="Times New Roman" w:hAnsi="Times New Roman"/>
          <w:bCs/>
        </w:rPr>
        <w:t xml:space="preserve">stavby ve výlučném vlastnictví Objednatele: </w:t>
      </w:r>
    </w:p>
    <w:p w14:paraId="1652B121" w14:textId="745670B5" w:rsidR="003D5CFE" w:rsidRPr="003D5CFE" w:rsidRDefault="003D5CFE" w:rsidP="003D5CFE">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xml:space="preserve">. č. 1466/1 </w:t>
      </w:r>
      <w:r w:rsidR="00624F5F">
        <w:rPr>
          <w:rFonts w:ascii="Times New Roman" w:hAnsi="Times New Roman"/>
          <w:bCs/>
        </w:rPr>
        <w:t xml:space="preserve">– ostatní plocha, </w:t>
      </w:r>
      <w:r w:rsidRPr="003D5CFE">
        <w:rPr>
          <w:rFonts w:ascii="Times New Roman" w:hAnsi="Times New Roman"/>
          <w:bCs/>
        </w:rPr>
        <w:t>zeleň,</w:t>
      </w:r>
    </w:p>
    <w:p w14:paraId="7D61EAD1" w14:textId="332EB2BC" w:rsidR="003D5CFE" w:rsidRPr="003D5CFE" w:rsidRDefault="003D5CFE" w:rsidP="003D5CFE">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č. 1430/3 – ostatní plocha, jiná plocha,</w:t>
      </w:r>
    </w:p>
    <w:p w14:paraId="307A5E18" w14:textId="218BAE31" w:rsidR="003D5CFE" w:rsidRPr="003D5CFE" w:rsidRDefault="003D5CFE" w:rsidP="003D5CFE">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č. 1430/4 – ostatní plocha, ostatní komunikace,</w:t>
      </w:r>
    </w:p>
    <w:p w14:paraId="61789675" w14:textId="06A643C1" w:rsidR="003D5CFE" w:rsidRPr="003D5CFE" w:rsidRDefault="003D5CFE" w:rsidP="003D5CFE">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č. 1430/5 – ostatní plocha, jiná plocha,</w:t>
      </w:r>
    </w:p>
    <w:p w14:paraId="6A30FB3D" w14:textId="3381EE33" w:rsidR="003D5CFE" w:rsidRPr="003D5CFE" w:rsidRDefault="003D5CFE" w:rsidP="003D5CFE">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č. 5623/2 – ostatní plocha, silnice,</w:t>
      </w:r>
    </w:p>
    <w:p w14:paraId="0A3C28B8" w14:textId="416EEDD7" w:rsidR="003D5CFE" w:rsidRPr="00624F5F" w:rsidRDefault="003D5CFE" w:rsidP="00624F5F">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č. 1466/2 – zastavěná plocha a nádvoří, jehož součástí je stavba: bez č</w:t>
      </w:r>
      <w:r w:rsidR="00624F5F">
        <w:rPr>
          <w:rFonts w:ascii="Times New Roman" w:hAnsi="Times New Roman"/>
          <w:bCs/>
        </w:rPr>
        <w:t>.</w:t>
      </w:r>
      <w:r w:rsidRPr="003D5CFE">
        <w:rPr>
          <w:rFonts w:ascii="Times New Roman" w:hAnsi="Times New Roman"/>
          <w:bCs/>
        </w:rPr>
        <w:t>p</w:t>
      </w:r>
      <w:r w:rsidR="00624F5F">
        <w:rPr>
          <w:rFonts w:ascii="Times New Roman" w:hAnsi="Times New Roman"/>
          <w:bCs/>
        </w:rPr>
        <w:t>.</w:t>
      </w:r>
      <w:r w:rsidRPr="003D5CFE">
        <w:rPr>
          <w:rFonts w:ascii="Times New Roman" w:hAnsi="Times New Roman"/>
          <w:bCs/>
        </w:rPr>
        <w:t>/</w:t>
      </w:r>
      <w:proofErr w:type="spellStart"/>
      <w:r w:rsidRPr="003D5CFE">
        <w:rPr>
          <w:rFonts w:ascii="Times New Roman" w:hAnsi="Times New Roman"/>
          <w:bCs/>
        </w:rPr>
        <w:t>č</w:t>
      </w:r>
      <w:r w:rsidR="00624F5F">
        <w:rPr>
          <w:rFonts w:ascii="Times New Roman" w:hAnsi="Times New Roman"/>
          <w:bCs/>
        </w:rPr>
        <w:t>.</w:t>
      </w:r>
      <w:r w:rsidRPr="003D5CFE">
        <w:rPr>
          <w:rFonts w:ascii="Times New Roman" w:hAnsi="Times New Roman"/>
          <w:bCs/>
        </w:rPr>
        <w:t>e</w:t>
      </w:r>
      <w:r w:rsidR="00624F5F">
        <w:rPr>
          <w:rFonts w:ascii="Times New Roman" w:hAnsi="Times New Roman"/>
          <w:bCs/>
        </w:rPr>
        <w:t>v</w:t>
      </w:r>
      <w:proofErr w:type="spellEnd"/>
      <w:r w:rsidR="00624F5F">
        <w:rPr>
          <w:rFonts w:ascii="Times New Roman" w:hAnsi="Times New Roman"/>
          <w:bCs/>
        </w:rPr>
        <w:t>.</w:t>
      </w:r>
      <w:r w:rsidRPr="003D5CFE">
        <w:rPr>
          <w:rFonts w:ascii="Times New Roman" w:hAnsi="Times New Roman"/>
          <w:bCs/>
        </w:rPr>
        <w:t>, jiná</w:t>
      </w:r>
      <w:r w:rsidR="00624F5F">
        <w:rPr>
          <w:rFonts w:ascii="Times New Roman" w:hAnsi="Times New Roman"/>
          <w:bCs/>
        </w:rPr>
        <w:t xml:space="preserve"> </w:t>
      </w:r>
      <w:r w:rsidRPr="00624F5F">
        <w:rPr>
          <w:rFonts w:ascii="Times New Roman" w:hAnsi="Times New Roman"/>
          <w:bCs/>
        </w:rPr>
        <w:t>stavba,</w:t>
      </w:r>
    </w:p>
    <w:p w14:paraId="40F2D61D" w14:textId="57A727A6" w:rsidR="003D5CFE" w:rsidRPr="003D5CFE" w:rsidRDefault="003D5CFE" w:rsidP="003D5CFE">
      <w:pPr>
        <w:numPr>
          <w:ilvl w:val="0"/>
          <w:numId w:val="38"/>
        </w:numPr>
        <w:autoSpaceDE w:val="0"/>
        <w:autoSpaceDN w:val="0"/>
        <w:adjustRightInd w:val="0"/>
        <w:spacing w:after="0" w:line="240" w:lineRule="auto"/>
        <w:jc w:val="both"/>
        <w:rPr>
          <w:rFonts w:ascii="Times New Roman" w:hAnsi="Times New Roman"/>
          <w:bCs/>
        </w:rPr>
      </w:pPr>
      <w:r w:rsidRPr="003D5CFE">
        <w:rPr>
          <w:rFonts w:ascii="Times New Roman" w:hAnsi="Times New Roman"/>
          <w:bCs/>
        </w:rPr>
        <w:t xml:space="preserve">pozemek </w:t>
      </w:r>
      <w:proofErr w:type="spellStart"/>
      <w:r w:rsidRPr="003D5CFE">
        <w:rPr>
          <w:rFonts w:ascii="Times New Roman" w:hAnsi="Times New Roman"/>
          <w:bCs/>
        </w:rPr>
        <w:t>parc</w:t>
      </w:r>
      <w:proofErr w:type="spellEnd"/>
      <w:r w:rsidRPr="003D5CFE">
        <w:rPr>
          <w:rFonts w:ascii="Times New Roman" w:hAnsi="Times New Roman"/>
          <w:bCs/>
        </w:rPr>
        <w:t>. č. 1478/1 – ostatní plocha, zeleň,</w:t>
      </w:r>
    </w:p>
    <w:p w14:paraId="10F3E853" w14:textId="633DBBB1" w:rsidR="003D5CFE" w:rsidRPr="00E23551" w:rsidRDefault="003D5CFE" w:rsidP="003D5CFE">
      <w:pPr>
        <w:autoSpaceDE w:val="0"/>
        <w:autoSpaceDN w:val="0"/>
        <w:adjustRightInd w:val="0"/>
        <w:spacing w:after="0" w:line="240" w:lineRule="auto"/>
        <w:ind w:left="426"/>
        <w:jc w:val="both"/>
        <w:rPr>
          <w:rFonts w:ascii="Times New Roman" w:hAnsi="Times New Roman"/>
        </w:rPr>
      </w:pPr>
      <w:r w:rsidRPr="003D5CFE">
        <w:rPr>
          <w:rFonts w:ascii="Times New Roman" w:hAnsi="Times New Roman"/>
          <w:bCs/>
        </w:rPr>
        <w:t>vše</w:t>
      </w:r>
      <w:r w:rsidR="00624F5F">
        <w:rPr>
          <w:rFonts w:ascii="Times New Roman" w:hAnsi="Times New Roman"/>
          <w:bCs/>
        </w:rPr>
        <w:t xml:space="preserve"> v </w:t>
      </w:r>
      <w:proofErr w:type="spellStart"/>
      <w:r w:rsidR="00624F5F">
        <w:rPr>
          <w:rFonts w:ascii="Times New Roman" w:hAnsi="Times New Roman"/>
          <w:bCs/>
        </w:rPr>
        <w:t>k.ú</w:t>
      </w:r>
      <w:proofErr w:type="spellEnd"/>
      <w:r w:rsidR="00624F5F">
        <w:rPr>
          <w:rFonts w:ascii="Times New Roman" w:hAnsi="Times New Roman"/>
          <w:bCs/>
        </w:rPr>
        <w:t>. Slezská Ostrava, obec Ostrava,</w:t>
      </w:r>
      <w:r w:rsidRPr="003D5CFE">
        <w:rPr>
          <w:rFonts w:ascii="Times New Roman" w:hAnsi="Times New Roman"/>
          <w:bCs/>
        </w:rPr>
        <w:t xml:space="preserve"> zapsáno na listu vlastnictví č. 3425 v katastru nemovitostí vedeném Katastrálním úřadem pro Moravskoslezský kraj, Katastrální pracoviště Ostrava</w:t>
      </w:r>
      <w:r>
        <w:rPr>
          <w:rFonts w:ascii="Times New Roman" w:hAnsi="Times New Roman"/>
          <w:bCs/>
        </w:rPr>
        <w:t xml:space="preserve"> (dále též jako </w:t>
      </w:r>
      <w:r>
        <w:rPr>
          <w:rFonts w:ascii="Times New Roman" w:hAnsi="Times New Roman"/>
          <w:bCs/>
          <w:i/>
        </w:rPr>
        <w:t>„</w:t>
      </w:r>
      <w:r>
        <w:rPr>
          <w:rFonts w:ascii="Times New Roman" w:hAnsi="Times New Roman"/>
          <w:b/>
          <w:bCs/>
          <w:i/>
        </w:rPr>
        <w:t>Staveniště</w:t>
      </w:r>
      <w:r>
        <w:rPr>
          <w:rFonts w:ascii="Times New Roman" w:hAnsi="Times New Roman"/>
          <w:bCs/>
          <w:i/>
        </w:rPr>
        <w:t>“</w:t>
      </w:r>
      <w:r>
        <w:rPr>
          <w:rFonts w:ascii="Times New Roman" w:hAnsi="Times New Roman"/>
          <w:bCs/>
        </w:rPr>
        <w:t>).</w:t>
      </w:r>
    </w:p>
    <w:p w14:paraId="60FA65A4" w14:textId="52565967" w:rsidR="00624F5F" w:rsidRPr="00D46E5C" w:rsidRDefault="00C84688" w:rsidP="00D46E5C">
      <w:pPr>
        <w:numPr>
          <w:ilvl w:val="0"/>
          <w:numId w:val="37"/>
        </w:numPr>
        <w:autoSpaceDE w:val="0"/>
        <w:autoSpaceDN w:val="0"/>
        <w:adjustRightInd w:val="0"/>
        <w:spacing w:after="0" w:line="240" w:lineRule="auto"/>
        <w:ind w:left="426" w:hanging="426"/>
        <w:jc w:val="both"/>
        <w:rPr>
          <w:rFonts w:ascii="Times New Roman" w:hAnsi="Times New Roman"/>
        </w:rPr>
      </w:pPr>
      <w:r w:rsidRPr="00D46E5C">
        <w:rPr>
          <w:rFonts w:ascii="Times New Roman" w:hAnsi="Times New Roman"/>
        </w:rPr>
        <w:t xml:space="preserve">Objednatel předá Zhotoviteli Staveniště prosté právních vad a nároků třetích osob, a to formou oběma smluvními stranami podepsaného zápisu o předání a převzetí Staveniště; </w:t>
      </w:r>
      <w:r w:rsidR="00E824BB" w:rsidRPr="00D46E5C">
        <w:rPr>
          <w:rFonts w:ascii="Times New Roman" w:hAnsi="Times New Roman"/>
        </w:rPr>
        <w:t xml:space="preserve">kdy </w:t>
      </w:r>
      <w:r w:rsidRPr="00D46E5C">
        <w:rPr>
          <w:rFonts w:ascii="Times New Roman" w:hAnsi="Times New Roman"/>
        </w:rPr>
        <w:t>o tom</w:t>
      </w:r>
      <w:r w:rsidR="00E824BB" w:rsidRPr="00D46E5C">
        <w:rPr>
          <w:rFonts w:ascii="Times New Roman" w:hAnsi="Times New Roman"/>
        </w:rPr>
        <w:t>to</w:t>
      </w:r>
      <w:r w:rsidRPr="00D46E5C">
        <w:rPr>
          <w:rFonts w:ascii="Times New Roman" w:hAnsi="Times New Roman"/>
        </w:rPr>
        <w:t xml:space="preserve"> </w:t>
      </w:r>
      <w:r w:rsidR="00E824BB" w:rsidRPr="00D46E5C">
        <w:rPr>
          <w:rFonts w:ascii="Times New Roman" w:hAnsi="Times New Roman"/>
        </w:rPr>
        <w:t xml:space="preserve">předání a převzetí Staveniště </w:t>
      </w:r>
      <w:r w:rsidR="00CC0892" w:rsidRPr="00D46E5C">
        <w:rPr>
          <w:rFonts w:ascii="Times New Roman" w:hAnsi="Times New Roman"/>
        </w:rPr>
        <w:t xml:space="preserve">se provede záznam do </w:t>
      </w:r>
      <w:r w:rsidRPr="00D46E5C">
        <w:rPr>
          <w:rFonts w:ascii="Times New Roman" w:hAnsi="Times New Roman"/>
        </w:rPr>
        <w:t xml:space="preserve">stavebního deníku v souladu s čl. VII. </w:t>
      </w:r>
      <w:r w:rsidR="00E824BB" w:rsidRPr="00D46E5C">
        <w:rPr>
          <w:rFonts w:ascii="Times New Roman" w:hAnsi="Times New Roman"/>
        </w:rPr>
        <w:t xml:space="preserve">této </w:t>
      </w:r>
      <w:r w:rsidRPr="00D46E5C">
        <w:rPr>
          <w:rFonts w:ascii="Times New Roman" w:hAnsi="Times New Roman"/>
        </w:rPr>
        <w:t xml:space="preserve">Smlouvy. K předání a převzetí Staveniště dojde do </w:t>
      </w:r>
      <w:r w:rsidR="008A1C4F" w:rsidRPr="00D46E5C">
        <w:rPr>
          <w:rFonts w:ascii="Times New Roman" w:hAnsi="Times New Roman"/>
        </w:rPr>
        <w:t>5</w:t>
      </w:r>
      <w:r w:rsidR="007B0E66" w:rsidRPr="00D46E5C">
        <w:rPr>
          <w:rFonts w:ascii="Times New Roman" w:hAnsi="Times New Roman"/>
        </w:rPr>
        <w:t xml:space="preserve"> </w:t>
      </w:r>
      <w:r w:rsidR="0004329A" w:rsidRPr="00D46E5C">
        <w:rPr>
          <w:rFonts w:ascii="Times New Roman" w:hAnsi="Times New Roman"/>
        </w:rPr>
        <w:t xml:space="preserve">kalendářních </w:t>
      </w:r>
      <w:r w:rsidR="001029BD" w:rsidRPr="00D46E5C">
        <w:rPr>
          <w:rFonts w:ascii="Times New Roman" w:hAnsi="Times New Roman"/>
        </w:rPr>
        <w:t>dní</w:t>
      </w:r>
      <w:r w:rsidR="000B27E5" w:rsidRPr="00D46E5C">
        <w:rPr>
          <w:rFonts w:ascii="Times New Roman" w:hAnsi="Times New Roman"/>
        </w:rPr>
        <w:t xml:space="preserve"> </w:t>
      </w:r>
      <w:r w:rsidRPr="00D46E5C">
        <w:rPr>
          <w:rFonts w:ascii="Times New Roman" w:hAnsi="Times New Roman"/>
        </w:rPr>
        <w:t>od</w:t>
      </w:r>
      <w:r w:rsidR="00E824BB" w:rsidRPr="00D46E5C">
        <w:rPr>
          <w:rFonts w:ascii="Times New Roman" w:hAnsi="Times New Roman"/>
        </w:rPr>
        <w:t>e dne</w:t>
      </w:r>
      <w:r w:rsidRPr="00D46E5C">
        <w:rPr>
          <w:rFonts w:ascii="Times New Roman" w:hAnsi="Times New Roman"/>
        </w:rPr>
        <w:t xml:space="preserve"> účinnosti </w:t>
      </w:r>
      <w:r w:rsidR="00E824BB" w:rsidRPr="00D46E5C">
        <w:rPr>
          <w:rFonts w:ascii="Times New Roman" w:hAnsi="Times New Roman"/>
        </w:rPr>
        <w:t xml:space="preserve">této </w:t>
      </w:r>
      <w:r w:rsidRPr="00D46E5C">
        <w:rPr>
          <w:rFonts w:ascii="Times New Roman" w:hAnsi="Times New Roman"/>
        </w:rPr>
        <w:t>Smlouvy. Nejpozději při předání Staveniště budou Zhotoviteli předány veškeré doklady opravňující zahájit provádění Díla.</w:t>
      </w:r>
    </w:p>
    <w:p w14:paraId="19FB6D9D" w14:textId="55B0B808" w:rsidR="00C84688" w:rsidRPr="00624F5F" w:rsidRDefault="00C84688" w:rsidP="00D46E5C">
      <w:pPr>
        <w:numPr>
          <w:ilvl w:val="0"/>
          <w:numId w:val="37"/>
        </w:numPr>
        <w:autoSpaceDE w:val="0"/>
        <w:autoSpaceDN w:val="0"/>
        <w:adjustRightInd w:val="0"/>
        <w:spacing w:after="0" w:line="240" w:lineRule="auto"/>
        <w:ind w:left="426" w:hanging="426"/>
        <w:jc w:val="both"/>
        <w:rPr>
          <w:rFonts w:ascii="Times New Roman" w:hAnsi="Times New Roman"/>
          <w:color w:val="000000"/>
        </w:rPr>
      </w:pPr>
      <w:r w:rsidRPr="00624F5F">
        <w:rPr>
          <w:rFonts w:ascii="Times New Roman" w:hAnsi="Times New Roman"/>
          <w:color w:val="000000"/>
        </w:rPr>
        <w:t>Zhotovite</w:t>
      </w:r>
      <w:r w:rsidR="00624F5F">
        <w:rPr>
          <w:rFonts w:ascii="Times New Roman" w:hAnsi="Times New Roman"/>
          <w:color w:val="000000"/>
        </w:rPr>
        <w:t>l</w:t>
      </w:r>
      <w:r w:rsidRPr="00624F5F">
        <w:rPr>
          <w:rFonts w:ascii="Times New Roman" w:hAnsi="Times New Roman"/>
          <w:color w:val="000000"/>
        </w:rPr>
        <w:t xml:space="preserve"> se zavazuje Předmět plnění pro Objednatele provést v souladu s</w:t>
      </w:r>
      <w:r w:rsidR="00E824BB" w:rsidRPr="00624F5F">
        <w:rPr>
          <w:rFonts w:ascii="Times New Roman" w:hAnsi="Times New Roman"/>
          <w:color w:val="000000"/>
        </w:rPr>
        <w:t xml:space="preserve"> touto </w:t>
      </w:r>
      <w:r w:rsidRPr="00624F5F">
        <w:rPr>
          <w:rFonts w:ascii="Times New Roman" w:hAnsi="Times New Roman"/>
          <w:color w:val="000000"/>
        </w:rPr>
        <w:t>Smlouvou v následujících termínech:</w:t>
      </w:r>
    </w:p>
    <w:p w14:paraId="6C0491B4" w14:textId="5D6B922D" w:rsidR="00893511" w:rsidRPr="003E14A5" w:rsidRDefault="00CF2974" w:rsidP="00A932E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3E14A5">
        <w:rPr>
          <w:rFonts w:ascii="Times New Roman" w:hAnsi="Times New Roman"/>
          <w:color w:val="000000"/>
        </w:rPr>
        <w:t>t</w:t>
      </w:r>
      <w:r w:rsidR="00C84688" w:rsidRPr="003E14A5">
        <w:rPr>
          <w:rFonts w:ascii="Times New Roman" w:hAnsi="Times New Roman"/>
          <w:color w:val="000000"/>
        </w:rPr>
        <w:t xml:space="preserve">ermín zahájení provádění Díla: do </w:t>
      </w:r>
      <w:r w:rsidR="000D77B3" w:rsidRPr="003E14A5">
        <w:rPr>
          <w:rFonts w:ascii="Times New Roman" w:hAnsi="Times New Roman"/>
          <w:color w:val="000000"/>
        </w:rPr>
        <w:t>5</w:t>
      </w:r>
      <w:r w:rsidR="00C84688" w:rsidRPr="003E14A5">
        <w:rPr>
          <w:rFonts w:ascii="Times New Roman" w:hAnsi="Times New Roman"/>
          <w:color w:val="000000"/>
        </w:rPr>
        <w:t xml:space="preserve"> </w:t>
      </w:r>
      <w:r w:rsidR="0004329A" w:rsidRPr="003E14A5">
        <w:rPr>
          <w:rFonts w:ascii="Times New Roman" w:hAnsi="Times New Roman"/>
          <w:color w:val="000000"/>
        </w:rPr>
        <w:t xml:space="preserve">kalendářních </w:t>
      </w:r>
      <w:r w:rsidR="00C84688" w:rsidRPr="003E14A5">
        <w:rPr>
          <w:rFonts w:ascii="Times New Roman" w:hAnsi="Times New Roman"/>
          <w:color w:val="000000"/>
        </w:rPr>
        <w:t>dnů od předání Staveniště,</w:t>
      </w:r>
    </w:p>
    <w:p w14:paraId="1354DE64" w14:textId="75309290" w:rsidR="00893511" w:rsidRPr="003E14A5" w:rsidRDefault="00CF2974" w:rsidP="00A932E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3E14A5">
        <w:rPr>
          <w:rFonts w:ascii="Times New Roman" w:hAnsi="Times New Roman"/>
          <w:color w:val="000000"/>
        </w:rPr>
        <w:t>termí</w:t>
      </w:r>
      <w:r w:rsidR="00893511" w:rsidRPr="003E14A5">
        <w:rPr>
          <w:rFonts w:ascii="Times New Roman" w:hAnsi="Times New Roman"/>
          <w:color w:val="000000"/>
        </w:rPr>
        <w:t>n</w:t>
      </w:r>
      <w:r w:rsidRPr="003E14A5">
        <w:rPr>
          <w:rFonts w:ascii="Times New Roman" w:hAnsi="Times New Roman"/>
          <w:color w:val="000000"/>
        </w:rPr>
        <w:t xml:space="preserve"> dokončení Díla</w:t>
      </w:r>
      <w:r w:rsidR="008A1C4F" w:rsidRPr="003E14A5">
        <w:rPr>
          <w:rFonts w:ascii="Times New Roman" w:hAnsi="Times New Roman"/>
          <w:color w:val="000000"/>
        </w:rPr>
        <w:t xml:space="preserve">: </w:t>
      </w:r>
      <w:r w:rsidR="00893511" w:rsidRPr="003E14A5">
        <w:rPr>
          <w:rFonts w:ascii="Times New Roman" w:hAnsi="Times New Roman"/>
          <w:color w:val="000000"/>
        </w:rPr>
        <w:t xml:space="preserve">do </w:t>
      </w:r>
      <w:r w:rsidR="008A1C4F" w:rsidRPr="003E14A5">
        <w:rPr>
          <w:rFonts w:ascii="Times New Roman" w:hAnsi="Times New Roman"/>
          <w:color w:val="000000"/>
        </w:rPr>
        <w:t>2</w:t>
      </w:r>
      <w:r w:rsidR="003E14A5">
        <w:rPr>
          <w:rFonts w:ascii="Times New Roman" w:hAnsi="Times New Roman"/>
          <w:color w:val="000000"/>
        </w:rPr>
        <w:t>14</w:t>
      </w:r>
      <w:r w:rsidR="008A1C4F" w:rsidRPr="003E14A5">
        <w:rPr>
          <w:rFonts w:ascii="Times New Roman" w:hAnsi="Times New Roman"/>
          <w:color w:val="000000"/>
        </w:rPr>
        <w:t xml:space="preserve"> </w:t>
      </w:r>
      <w:r w:rsidR="00624F5F">
        <w:rPr>
          <w:rFonts w:ascii="Times New Roman" w:hAnsi="Times New Roman"/>
          <w:color w:val="000000"/>
        </w:rPr>
        <w:t xml:space="preserve">kalendářních </w:t>
      </w:r>
      <w:r w:rsidR="008A1C4F" w:rsidRPr="003E14A5">
        <w:rPr>
          <w:rFonts w:ascii="Times New Roman" w:hAnsi="Times New Roman"/>
          <w:color w:val="000000"/>
        </w:rPr>
        <w:t>dnů</w:t>
      </w:r>
      <w:r w:rsidR="004913E1" w:rsidRPr="003E14A5">
        <w:rPr>
          <w:rFonts w:ascii="Times New Roman" w:hAnsi="Times New Roman"/>
          <w:color w:val="000000"/>
        </w:rPr>
        <w:t xml:space="preserve"> od předání staveniště</w:t>
      </w:r>
      <w:r w:rsidRPr="003E14A5">
        <w:rPr>
          <w:rFonts w:ascii="Times New Roman" w:hAnsi="Times New Roman"/>
          <w:color w:val="000000"/>
        </w:rPr>
        <w:t>.</w:t>
      </w:r>
    </w:p>
    <w:p w14:paraId="38852561" w14:textId="77777777" w:rsidR="00893511" w:rsidRDefault="00893511" w:rsidP="00C84688">
      <w:pPr>
        <w:autoSpaceDE w:val="0"/>
        <w:autoSpaceDN w:val="0"/>
        <w:adjustRightInd w:val="0"/>
        <w:spacing w:after="0" w:line="240" w:lineRule="auto"/>
        <w:jc w:val="both"/>
        <w:rPr>
          <w:rFonts w:ascii="Arial" w:hAnsi="Arial" w:cs="Arial"/>
          <w:b/>
          <w:bCs/>
          <w:sz w:val="24"/>
          <w:szCs w:val="24"/>
        </w:rPr>
      </w:pPr>
    </w:p>
    <w:p w14:paraId="7F044872" w14:textId="5B9005C4"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6D1EB0FA"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lastRenderedPageBreak/>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A932E4">
      <w:pPr>
        <w:numPr>
          <w:ilvl w:val="0"/>
          <w:numId w:val="4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A932E4">
      <w:pPr>
        <w:numPr>
          <w:ilvl w:val="0"/>
          <w:numId w:val="4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A932E4">
      <w:pPr>
        <w:numPr>
          <w:ilvl w:val="0"/>
          <w:numId w:val="4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893511">
      <w:pPr>
        <w:numPr>
          <w:ilvl w:val="0"/>
          <w:numId w:val="3"/>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893511">
      <w:pPr>
        <w:numPr>
          <w:ilvl w:val="0"/>
          <w:numId w:val="3"/>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A932E4">
      <w:pPr>
        <w:numPr>
          <w:ilvl w:val="0"/>
          <w:numId w:val="5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A932E4">
      <w:pPr>
        <w:numPr>
          <w:ilvl w:val="0"/>
          <w:numId w:val="5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lastRenderedPageBreak/>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893511">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893511">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A932E4">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710A6C8F" w:rsidR="00645913" w:rsidRPr="007F0E7A" w:rsidRDefault="00C84688" w:rsidP="007F0E7A">
      <w:pPr>
        <w:numPr>
          <w:ilvl w:val="0"/>
          <w:numId w:val="23"/>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lastRenderedPageBreak/>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0E33D316" w:rsidR="00C84688" w:rsidRPr="00C84688" w:rsidRDefault="00122CAA" w:rsidP="00122CAA">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 xml:space="preserve">Zhotovitel je povinen ode dne převzetí </w:t>
      </w:r>
      <w:r w:rsidR="003617B1">
        <w:rPr>
          <w:rFonts w:ascii="Times New Roman" w:eastAsia="Times New Roman" w:hAnsi="Times New Roman"/>
          <w:lang w:eastAsia="cs-CZ"/>
        </w:rPr>
        <w:t>S</w:t>
      </w:r>
      <w:r w:rsidRPr="00A932E4">
        <w:rPr>
          <w:rFonts w:ascii="Times New Roman" w:eastAsia="Times New Roman" w:hAnsi="Times New Roman"/>
          <w:lang w:eastAsia="cs-CZ"/>
        </w:rPr>
        <w:t>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 xml:space="preserve">souvislosti s realizací Díla stavební deník podle příslušných platných ú činných právních předpisů. Stavební deník bude v průběhu pracovní doby trvale dostupný na </w:t>
      </w:r>
      <w:r w:rsidR="003617B1">
        <w:rPr>
          <w:rFonts w:ascii="Times New Roman" w:eastAsia="Times New Roman" w:hAnsi="Times New Roman"/>
          <w:lang w:eastAsia="cs-CZ"/>
        </w:rPr>
        <w:t>s</w:t>
      </w:r>
      <w:r w:rsidRPr="00A932E4">
        <w:rPr>
          <w:rFonts w:ascii="Times New Roman" w:eastAsia="Times New Roman" w:hAnsi="Times New Roman"/>
          <w:lang w:eastAsia="cs-CZ"/>
        </w:rPr>
        <w:t>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560DD890" w14:textId="691CE289" w:rsidR="00E04D69" w:rsidRDefault="00E04D69"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 xml:space="preserve">nebude </w:t>
      </w:r>
      <w:r w:rsidRPr="00C84688">
        <w:rPr>
          <w:rFonts w:ascii="Times New Roman" w:hAnsi="Times New Roman"/>
        </w:rPr>
        <w:lastRenderedPageBreak/>
        <w:t>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535A8B6"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w:t>
      </w:r>
      <w:r w:rsidR="003617B1">
        <w:rPr>
          <w:rFonts w:ascii="Times New Roman" w:hAnsi="Times New Roman"/>
        </w:rPr>
        <w:t> </w:t>
      </w:r>
      <w:r w:rsidRPr="00C84688">
        <w:rPr>
          <w:rFonts w:ascii="Times New Roman" w:hAnsi="Times New Roman"/>
        </w:rPr>
        <w:t>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26965763" w:rsidR="00C428C4"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w:t>
      </w:r>
      <w:r w:rsidR="003617B1">
        <w:rPr>
          <w:rFonts w:ascii="Times New Roman" w:eastAsia="Times New Roman" w:hAnsi="Times New Roman"/>
          <w:bCs/>
          <w:lang w:eastAsia="cs-CZ"/>
        </w:rPr>
        <w:t> </w:t>
      </w:r>
      <w:r w:rsidR="00C428C4" w:rsidRPr="006C7150">
        <w:rPr>
          <w:rFonts w:ascii="Times New Roman" w:eastAsia="Times New Roman" w:hAnsi="Times New Roman"/>
          <w:bCs/>
          <w:lang w:eastAsia="cs-CZ"/>
        </w:rPr>
        <w:t>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0A341CF" w:rsidR="00C84688" w:rsidRPr="00C84688"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w:t>
      </w:r>
      <w:r w:rsidR="003617B1">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C84688">
      <w:pPr>
        <w:numPr>
          <w:ilvl w:val="0"/>
          <w:numId w:val="8"/>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397FC313" w14:textId="77777777" w:rsidR="00C84688" w:rsidRPr="00C84688"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72323A">
      <w:pPr>
        <w:numPr>
          <w:ilvl w:val="0"/>
          <w:numId w:val="7"/>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537E5905" w14:textId="77777777" w:rsidR="00C84688" w:rsidRPr="0072323A" w:rsidRDefault="00C84688" w:rsidP="00C84688">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lastRenderedPageBreak/>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C84688">
      <w:pPr>
        <w:numPr>
          <w:ilvl w:val="0"/>
          <w:numId w:val="5"/>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38FBE197" w14:textId="05382296" w:rsidR="008D0012" w:rsidRPr="0072323A" w:rsidRDefault="008D0012" w:rsidP="008D0012">
      <w:pPr>
        <w:numPr>
          <w:ilvl w:val="0"/>
          <w:numId w:val="54"/>
        </w:numPr>
        <w:tabs>
          <w:tab w:val="left" w:pos="993"/>
        </w:tabs>
        <w:spacing w:after="0" w:line="240" w:lineRule="auto"/>
        <w:ind w:left="709" w:hanging="283"/>
        <w:jc w:val="both"/>
        <w:rPr>
          <w:rFonts w:ascii="Times New Roman" w:eastAsia="Times New Roman" w:hAnsi="Times New Roman"/>
          <w:lang w:eastAsia="cs-CZ"/>
        </w:rPr>
      </w:pPr>
      <w:r w:rsidRPr="0072323A">
        <w:rPr>
          <w:rFonts w:ascii="Times New Roman" w:eastAsia="Times New Roman" w:hAnsi="Times New Roman"/>
          <w:lang w:eastAsia="cs-CZ"/>
        </w:rPr>
        <w:t xml:space="preserve">uvedení textu „Uvedené plnění </w:t>
      </w:r>
      <w:r w:rsidRPr="00A31CF5">
        <w:rPr>
          <w:rFonts w:ascii="Times New Roman" w:eastAsia="Times New Roman" w:hAnsi="Times New Roman"/>
          <w:lang w:eastAsia="cs-CZ"/>
        </w:rPr>
        <w:t xml:space="preserve">nebude používáno k ekonomické činnosti – není aplikován </w:t>
      </w:r>
      <w:r w:rsidRPr="0072323A">
        <w:rPr>
          <w:rFonts w:ascii="Times New Roman" w:eastAsia="Times New Roman" w:hAnsi="Times New Roman"/>
          <w:lang w:eastAsia="cs-CZ"/>
        </w:rPr>
        <w:t>režim přenesení daňové povinnosti dle zákona o DPH</w:t>
      </w:r>
      <w:r>
        <w:rPr>
          <w:rFonts w:ascii="Times New Roman" w:eastAsia="Times New Roman" w:hAnsi="Times New Roman"/>
          <w:lang w:eastAsia="cs-CZ"/>
        </w:rPr>
        <w:t>“</w:t>
      </w:r>
      <w:r w:rsidRPr="0072323A">
        <w:rPr>
          <w:rFonts w:ascii="Times New Roman" w:eastAsia="Times New Roman" w:hAnsi="Times New Roman"/>
          <w:lang w:eastAsia="cs-CZ"/>
        </w:rPr>
        <w:t xml:space="preserve"> </w:t>
      </w:r>
    </w:p>
    <w:p w14:paraId="568F12F1" w14:textId="3016A218" w:rsidR="00697C01"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6E95715" w14:textId="471A01BF" w:rsidR="00C84688" w:rsidRDefault="002915A7" w:rsidP="0072323A">
      <w:pPr>
        <w:numPr>
          <w:ilvl w:val="0"/>
          <w:numId w:val="41"/>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zrealizované Zhotovitelem v daném </w:t>
      </w:r>
      <w:r w:rsidR="009C27BD" w:rsidRPr="00D4381A">
        <w:rPr>
          <w:rFonts w:ascii="Times New Roman" w:hAnsi="Times New Roman"/>
        </w:rPr>
        <w:t>fakturačním období</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 xml:space="preserve">vždy </w:t>
      </w:r>
      <w:r w:rsidR="008D0012" w:rsidRPr="00A31CF5">
        <w:rPr>
          <w:rFonts w:ascii="Times New Roman" w:hAnsi="Times New Roman"/>
        </w:rPr>
        <w:t xml:space="preserve">k poslednímu dni příslušného </w:t>
      </w:r>
      <w:r w:rsidR="00E20E4D" w:rsidRPr="00D4381A">
        <w:rPr>
          <w:rFonts w:ascii="Times New Roman" w:hAnsi="Times New Roman"/>
        </w:rPr>
        <w:t>daného fakturačního období</w:t>
      </w:r>
      <w:r w:rsidR="00C84688" w:rsidRPr="00D4381A">
        <w:rPr>
          <w:rFonts w:ascii="Times New Roman" w:hAnsi="Times New Roman"/>
        </w:rPr>
        <w:t xml:space="preserve">. Dílčí plnění odsouhlasené Objednatelem se považuje za samostatně zdanitelné plnění </w:t>
      </w:r>
      <w:r w:rsidR="00C84688" w:rsidRPr="00A31CF5">
        <w:rPr>
          <w:rFonts w:ascii="Times New Roman" w:hAnsi="Times New Roman"/>
        </w:rPr>
        <w:t xml:space="preserve">uskutečněné </w:t>
      </w:r>
      <w:r w:rsidR="008D0012" w:rsidRPr="00A31CF5">
        <w:rPr>
          <w:rFonts w:ascii="Times New Roman" w:hAnsi="Times New Roman"/>
        </w:rPr>
        <w:t xml:space="preserve">k poslednímu dni příslušného daného </w:t>
      </w:r>
      <w:r w:rsidR="00E20E4D" w:rsidRPr="00D4381A">
        <w:rPr>
          <w:rFonts w:ascii="Times New Roman" w:hAnsi="Times New Roman"/>
        </w:rPr>
        <w:t>kalendářního měsíce fakturačního období</w:t>
      </w:r>
      <w:r w:rsidR="00C84688" w:rsidRPr="00D4381A">
        <w:rPr>
          <w:rFonts w:ascii="Times New Roman" w:hAnsi="Times New Roman"/>
        </w:rPr>
        <w:t>.</w:t>
      </w:r>
    </w:p>
    <w:p w14:paraId="2DC821C8" w14:textId="109D37B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Konečnou Fakturu do plné výše ceny za Dílo ujednanou v čl. III.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200FBEFC"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si ujednaly, že platby </w:t>
      </w:r>
      <w:r w:rsidR="00DD1CA3" w:rsidRPr="0072323A">
        <w:rPr>
          <w:rFonts w:ascii="Times New Roman" w:hAnsi="Times New Roman"/>
        </w:rPr>
        <w:t xml:space="preserve">budou provedeny </w:t>
      </w:r>
      <w:r w:rsidRPr="0072323A">
        <w:rPr>
          <w:rFonts w:ascii="Times New Roman" w:hAnsi="Times New Roman"/>
        </w:rPr>
        <w:t xml:space="preserve">bezhotovostně na číslo účtu uvedené v záhlaví </w:t>
      </w:r>
      <w:r w:rsidR="00FA237A" w:rsidRPr="0072323A">
        <w:rPr>
          <w:rFonts w:ascii="Times New Roman" w:hAnsi="Times New Roman"/>
        </w:rPr>
        <w:t xml:space="preserve">této </w:t>
      </w:r>
      <w:r w:rsidRPr="0072323A">
        <w:rPr>
          <w:rFonts w:ascii="Times New Roman" w:hAnsi="Times New Roman"/>
        </w:rPr>
        <w:t>Smlouvy, není-li dále stanoveno jinak, nebo nedohodnou-li se smluvní strany jinak.</w:t>
      </w:r>
    </w:p>
    <w:p w14:paraId="171E9AEC"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13555DA0"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Zhotovitel zašle či osobně doručí Fakturu Objednateli v souladu s čl. XIV. odst. 3 </w:t>
      </w:r>
      <w:r w:rsidR="00E43B70" w:rsidRPr="0072323A">
        <w:rPr>
          <w:rFonts w:ascii="Times New Roman" w:hAnsi="Times New Roman"/>
        </w:rPr>
        <w:t xml:space="preserve">této </w:t>
      </w:r>
      <w:r w:rsidRPr="0072323A">
        <w:rPr>
          <w:rFonts w:ascii="Times New Roman" w:hAnsi="Times New Roman"/>
        </w:rPr>
        <w:t>Smlouvy.</w:t>
      </w:r>
    </w:p>
    <w:p w14:paraId="2D0CF623" w14:textId="49EDE352" w:rsidR="001572BB" w:rsidRPr="00EF70CC" w:rsidRDefault="00C84688" w:rsidP="00EF70CC">
      <w:pPr>
        <w:numPr>
          <w:ilvl w:val="0"/>
          <w:numId w:val="41"/>
        </w:numPr>
        <w:autoSpaceDE w:val="0"/>
        <w:autoSpaceDN w:val="0"/>
        <w:adjustRightInd w:val="0"/>
        <w:spacing w:after="0" w:line="240" w:lineRule="auto"/>
        <w:ind w:left="426" w:hanging="426"/>
        <w:jc w:val="both"/>
        <w:rPr>
          <w:rFonts w:ascii="Arial" w:hAnsi="Arial" w:cs="Arial"/>
          <w:b/>
          <w:sz w:val="24"/>
          <w:szCs w:val="24"/>
        </w:rPr>
      </w:pPr>
      <w:r w:rsidRPr="0072323A">
        <w:rPr>
          <w:rFonts w:ascii="Times New Roman" w:hAnsi="Times New Roman"/>
        </w:rPr>
        <w:t>Objednatel je oprávněn před uplynutím lhůty splatnosti vrátit Fakturu bez zaplacení, a</w:t>
      </w:r>
      <w:r w:rsidR="00583D3C">
        <w:rPr>
          <w:rFonts w:ascii="Times New Roman" w:hAnsi="Times New Roman"/>
        </w:rPr>
        <w:t> </w:t>
      </w:r>
      <w:r w:rsidRPr="0072323A">
        <w:rPr>
          <w:rFonts w:ascii="Times New Roman" w:hAnsi="Times New Roman"/>
        </w:rPr>
        <w:t>to</w:t>
      </w:r>
      <w:r w:rsidR="00583D3C">
        <w:rPr>
          <w:rFonts w:ascii="Times New Roman" w:hAnsi="Times New Roman"/>
        </w:rPr>
        <w:t> </w:t>
      </w:r>
      <w:r w:rsidRPr="0072323A">
        <w:rPr>
          <w:rFonts w:ascii="Times New Roman" w:hAnsi="Times New Roman"/>
        </w:rPr>
        <w:t>v případě, kdy Faktura neobsahuje potřebné náležitosti nebo má jiné závady v obsahu. Ve</w:t>
      </w:r>
      <w:r w:rsidR="00583D3C">
        <w:rPr>
          <w:rFonts w:ascii="Times New Roman" w:hAnsi="Times New Roman"/>
        </w:rPr>
        <w:t> </w:t>
      </w:r>
      <w:r w:rsidRPr="0072323A">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C84688">
        <w:rPr>
          <w:rFonts w:ascii="Times New Roman" w:eastAsia="Times New Roman" w:hAnsi="Times New Roman"/>
          <w:lang w:eastAsia="cs-CZ"/>
        </w:rPr>
        <w:t>.</w:t>
      </w: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 xml:space="preserve">Smlouvy a že jakost </w:t>
      </w:r>
      <w:r w:rsidRPr="00C84688">
        <w:rPr>
          <w:rFonts w:ascii="Times New Roman" w:hAnsi="Times New Roman"/>
        </w:rPr>
        <w:lastRenderedPageBreak/>
        <w:t>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C84688">
      <w:pPr>
        <w:numPr>
          <w:ilvl w:val="0"/>
          <w:numId w:val="4"/>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A932E4">
      <w:pPr>
        <w:numPr>
          <w:ilvl w:val="0"/>
          <w:numId w:val="4"/>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A932E4">
      <w:pPr>
        <w:numPr>
          <w:ilvl w:val="0"/>
          <w:numId w:val="10"/>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proofErr w:type="gramStart"/>
      <w:r w:rsidR="001826A9">
        <w:rPr>
          <w:rFonts w:ascii="Times New Roman" w:eastAsia="Times New Roman" w:hAnsi="Times New Roman"/>
          <w:lang w:eastAsia="cs-CZ"/>
        </w:rPr>
        <w:t>10</w:t>
      </w:r>
      <w:r w:rsidR="001826A9" w:rsidRPr="00C84688">
        <w:rPr>
          <w:rFonts w:ascii="Times New Roman" w:eastAsia="Times New Roman" w:hAnsi="Times New Roman"/>
          <w:lang w:eastAsia="cs-CZ"/>
        </w:rPr>
        <w:t>.000,-</w:t>
      </w:r>
      <w:proofErr w:type="gramEnd"/>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proofErr w:type="gramStart"/>
      <w:r w:rsidR="001826A9">
        <w:rPr>
          <w:rFonts w:ascii="Times New Roman" w:eastAsia="Times New Roman" w:hAnsi="Times New Roman"/>
          <w:lang w:eastAsia="cs-CZ"/>
        </w:rPr>
        <w:t>10</w:t>
      </w:r>
      <w:r w:rsidR="001826A9" w:rsidRPr="00C84688">
        <w:rPr>
          <w:rFonts w:ascii="Times New Roman" w:eastAsia="Times New Roman" w:hAnsi="Times New Roman"/>
          <w:lang w:eastAsia="cs-CZ"/>
        </w:rPr>
        <w:t>.000,-</w:t>
      </w:r>
      <w:proofErr w:type="gramEnd"/>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4FBA0300"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w:t>
      </w:r>
      <w:r w:rsidRPr="00C84688">
        <w:rPr>
          <w:rFonts w:ascii="Times New Roman" w:eastAsia="Times New Roman" w:hAnsi="Times New Roman"/>
          <w:lang w:eastAsia="cs-CZ"/>
        </w:rPr>
        <w:lastRenderedPageBreak/>
        <w:t xml:space="preserve">ve výši </w:t>
      </w:r>
      <w:proofErr w:type="gramStart"/>
      <w:r w:rsidRPr="00C84688">
        <w:rPr>
          <w:rFonts w:ascii="Times New Roman" w:eastAsia="Times New Roman" w:hAnsi="Times New Roman"/>
          <w:lang w:eastAsia="cs-CZ"/>
        </w:rPr>
        <w:t>1.000,-</w:t>
      </w:r>
      <w:proofErr w:type="gramEnd"/>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0159D965"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proofErr w:type="gramStart"/>
      <w:r w:rsidRPr="00C84688">
        <w:rPr>
          <w:rFonts w:ascii="Times New Roman" w:eastAsia="Times New Roman" w:hAnsi="Times New Roman"/>
          <w:lang w:eastAsia="cs-CZ"/>
        </w:rPr>
        <w:t>5.000,-</w:t>
      </w:r>
      <w:proofErr w:type="gramEnd"/>
      <w:r w:rsidRPr="00C84688">
        <w:rPr>
          <w:rFonts w:ascii="Times New Roman" w:eastAsia="Times New Roman" w:hAnsi="Times New Roman"/>
          <w:lang w:eastAsia="cs-CZ"/>
        </w:rPr>
        <w:t xml:space="preserve"> Kč, a to samostatně za každý zjištěný případ.</w:t>
      </w:r>
    </w:p>
    <w:p w14:paraId="08DE66CC" w14:textId="5FC8D868"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571A4473" w14:textId="372300F2"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proofErr w:type="gramStart"/>
      <w:r w:rsidRPr="00C84688">
        <w:rPr>
          <w:rFonts w:ascii="Times New Roman" w:eastAsia="Times New Roman" w:hAnsi="Times New Roman"/>
          <w:lang w:eastAsia="cs-CZ"/>
        </w:rPr>
        <w:t>10.000,-</w:t>
      </w:r>
      <w:proofErr w:type="gramEnd"/>
      <w:r w:rsidRPr="00C84688">
        <w:rPr>
          <w:rFonts w:ascii="Times New Roman" w:eastAsia="Times New Roman" w:hAnsi="Times New Roman"/>
          <w:lang w:eastAsia="cs-CZ"/>
        </w:rPr>
        <w:t xml:space="preserve"> Kč za každý jednotlivý případ.</w:t>
      </w:r>
    </w:p>
    <w:p w14:paraId="25C0CD4A" w14:textId="68D59AC1"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70905DBB" w14:textId="659EDE3D"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proofErr w:type="gramStart"/>
      <w:r w:rsidRPr="00C84688">
        <w:rPr>
          <w:rFonts w:ascii="Times New Roman" w:eastAsia="Times New Roman" w:hAnsi="Times New Roman"/>
          <w:bCs/>
          <w:lang w:eastAsia="cs-CZ"/>
        </w:rPr>
        <w:t>1.000,-</w:t>
      </w:r>
      <w:proofErr w:type="gramEnd"/>
      <w:r w:rsidRPr="00C84688">
        <w:rPr>
          <w:rFonts w:ascii="Times New Roman" w:eastAsia="Times New Roman" w:hAnsi="Times New Roman"/>
          <w:bCs/>
          <w:lang w:eastAsia="cs-CZ"/>
        </w:rPr>
        <w:t xml:space="preserve"> Kč, a to samostatně za každý zjištěný případ.</w:t>
      </w:r>
    </w:p>
    <w:p w14:paraId="6D68C492" w14:textId="1AC0BB3B"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D423D86" w:rsidR="00C84688" w:rsidRPr="00A932E4" w:rsidRDefault="00C84688" w:rsidP="00A932E4">
      <w:pPr>
        <w:numPr>
          <w:ilvl w:val="0"/>
          <w:numId w:val="55"/>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proofErr w:type="gramStart"/>
      <w:r w:rsidRPr="00A932E4">
        <w:rPr>
          <w:rFonts w:ascii="Times New Roman" w:hAnsi="Times New Roman"/>
          <w:color w:val="000000"/>
        </w:rPr>
        <w:t>5.000,-</w:t>
      </w:r>
      <w:proofErr w:type="gramEnd"/>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10027233" w:rsidR="00C84688" w:rsidRPr="00A932E4" w:rsidRDefault="00C84688" w:rsidP="00A932E4">
      <w:pPr>
        <w:numPr>
          <w:ilvl w:val="0"/>
          <w:numId w:val="55"/>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proofErr w:type="gramStart"/>
      <w:r w:rsidRPr="00A932E4">
        <w:rPr>
          <w:rFonts w:ascii="Times New Roman" w:hAnsi="Times New Roman"/>
          <w:color w:val="000000"/>
        </w:rPr>
        <w:t>5.000,-</w:t>
      </w:r>
      <w:proofErr w:type="gramEnd"/>
      <w:r w:rsidRPr="00A932E4">
        <w:rPr>
          <w:rFonts w:ascii="Times New Roman" w:hAnsi="Times New Roman"/>
          <w:color w:val="000000"/>
        </w:rPr>
        <w:t xml:space="preserve"> Kč za každý zjištěný případ.</w:t>
      </w:r>
    </w:p>
    <w:p w14:paraId="7C869189" w14:textId="65E10329"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C84688">
      <w:pPr>
        <w:numPr>
          <w:ilvl w:val="0"/>
          <w:numId w:val="1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A932E4">
      <w:pPr>
        <w:numPr>
          <w:ilvl w:val="0"/>
          <w:numId w:val="56"/>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A932E4">
      <w:pPr>
        <w:numPr>
          <w:ilvl w:val="0"/>
          <w:numId w:val="56"/>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 xml:space="preserve">písemným odstoupením některé smluvní strany v případech stanovených právními předpisy nebo touto Smlouvou,  </w:t>
      </w:r>
    </w:p>
    <w:p w14:paraId="2890AB18" w14:textId="77777777" w:rsidR="00C84688" w:rsidRPr="00A932E4" w:rsidRDefault="00C84688" w:rsidP="00A932E4">
      <w:pPr>
        <w:numPr>
          <w:ilvl w:val="0"/>
          <w:numId w:val="56"/>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C84688">
      <w:pPr>
        <w:numPr>
          <w:ilvl w:val="0"/>
          <w:numId w:val="15"/>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C84688">
      <w:pPr>
        <w:numPr>
          <w:ilvl w:val="0"/>
          <w:numId w:val="15"/>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174D36">
      <w:pPr>
        <w:numPr>
          <w:ilvl w:val="0"/>
          <w:numId w:val="15"/>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C84688">
      <w:pPr>
        <w:numPr>
          <w:ilvl w:val="0"/>
          <w:numId w:val="14"/>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C84688">
      <w:pPr>
        <w:numPr>
          <w:ilvl w:val="0"/>
          <w:numId w:val="1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174D36">
      <w:pPr>
        <w:numPr>
          <w:ilvl w:val="0"/>
          <w:numId w:val="14"/>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043B73C0" w14:textId="70DF0092" w:rsidR="00232F34" w:rsidRDefault="00096C11" w:rsidP="005F6DC9">
      <w:pPr>
        <w:numPr>
          <w:ilvl w:val="0"/>
          <w:numId w:val="14"/>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22385F32" w14:textId="77777777" w:rsidR="00EB1E41" w:rsidRDefault="00EB1E41" w:rsidP="00A53045">
      <w:pPr>
        <w:spacing w:after="0" w:line="240" w:lineRule="auto"/>
        <w:jc w:val="both"/>
        <w:rPr>
          <w:rFonts w:ascii="Arial" w:eastAsia="Times New Roman" w:hAnsi="Arial" w:cs="Arial"/>
          <w:b/>
          <w:bCs/>
          <w:sz w:val="24"/>
          <w:szCs w:val="24"/>
          <w:lang w:eastAsia="cs-CZ"/>
        </w:rPr>
      </w:pPr>
    </w:p>
    <w:p w14:paraId="0B8B80E4" w14:textId="27995408"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Článek X</w:t>
      </w:r>
      <w:r w:rsidR="00A31CF5">
        <w:rPr>
          <w:rFonts w:ascii="Arial" w:hAnsi="Arial" w:cs="Arial"/>
          <w:b/>
          <w:bCs/>
          <w:sz w:val="24"/>
          <w:szCs w:val="24"/>
        </w:rPr>
        <w:t>I</w:t>
      </w:r>
      <w:r w:rsidRPr="00C84688">
        <w:rPr>
          <w:rFonts w:ascii="Arial" w:hAnsi="Arial" w:cs="Arial"/>
          <w:b/>
          <w:bCs/>
          <w:sz w:val="24"/>
          <w:szCs w:val="24"/>
        </w:rPr>
        <w:t xml:space="preserve">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C84688">
      <w:pPr>
        <w:numPr>
          <w:ilvl w:val="0"/>
          <w:numId w:val="1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C84688">
      <w:pPr>
        <w:numPr>
          <w:ilvl w:val="0"/>
          <w:numId w:val="1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C84688">
      <w:pPr>
        <w:numPr>
          <w:ilvl w:val="0"/>
          <w:numId w:val="13"/>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A932E4">
      <w:pPr>
        <w:numPr>
          <w:ilvl w:val="0"/>
          <w:numId w:val="5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C84688">
      <w:pPr>
        <w:numPr>
          <w:ilvl w:val="0"/>
          <w:numId w:val="2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C84688">
      <w:pPr>
        <w:numPr>
          <w:ilvl w:val="0"/>
          <w:numId w:val="2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A932E4">
      <w:pPr>
        <w:numPr>
          <w:ilvl w:val="0"/>
          <w:numId w:val="5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A932E4">
      <w:pPr>
        <w:numPr>
          <w:ilvl w:val="0"/>
          <w:numId w:val="58"/>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A932E4">
      <w:pPr>
        <w:numPr>
          <w:ilvl w:val="0"/>
          <w:numId w:val="5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C84688">
      <w:pPr>
        <w:numPr>
          <w:ilvl w:val="0"/>
          <w:numId w:val="19"/>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C84688">
      <w:pPr>
        <w:numPr>
          <w:ilvl w:val="0"/>
          <w:numId w:val="20"/>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C84688">
      <w:pPr>
        <w:numPr>
          <w:ilvl w:val="0"/>
          <w:numId w:val="20"/>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C84688">
      <w:pPr>
        <w:numPr>
          <w:ilvl w:val="0"/>
          <w:numId w:val="19"/>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 xml:space="preserve">mu projev vůle dojde, tzn. od okamžiku, kdy se dostane do sféry dispozice adresáta; zmaří-li vědomě adresát dojití Zásilky, platí, že Zásilka řádně došla. V případě zaslání </w:t>
      </w:r>
      <w:r w:rsidRPr="00C84688">
        <w:rPr>
          <w:rFonts w:ascii="Times New Roman" w:hAnsi="Times New Roman"/>
          <w:bCs/>
        </w:rPr>
        <w:lastRenderedPageBreak/>
        <w:t>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403980F0"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XV.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8B06BA">
      <w:pPr>
        <w:numPr>
          <w:ilvl w:val="0"/>
          <w:numId w:val="29"/>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8B06BA">
      <w:pPr>
        <w:numPr>
          <w:ilvl w:val="0"/>
          <w:numId w:val="29"/>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8B06BA">
      <w:pPr>
        <w:numPr>
          <w:ilvl w:val="0"/>
          <w:numId w:val="29"/>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8B06BA">
      <w:pPr>
        <w:numPr>
          <w:ilvl w:val="0"/>
          <w:numId w:val="29"/>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8B06BA">
      <w:pPr>
        <w:numPr>
          <w:ilvl w:val="0"/>
          <w:numId w:val="29"/>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A932E4">
      <w:pPr>
        <w:numPr>
          <w:ilvl w:val="0"/>
          <w:numId w:val="29"/>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8B06BA">
      <w:pPr>
        <w:numPr>
          <w:ilvl w:val="0"/>
          <w:numId w:val="29"/>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1434DE34" w:rsidR="0098476B" w:rsidRDefault="0098476B" w:rsidP="00D947AC">
      <w:pPr>
        <w:spacing w:after="0" w:line="240" w:lineRule="auto"/>
        <w:ind w:right="42"/>
        <w:jc w:val="both"/>
        <w:rPr>
          <w:rFonts w:ascii="Arial" w:eastAsia="Times New Roman" w:hAnsi="Arial" w:cs="Arial"/>
          <w:b/>
          <w:bCs/>
          <w:sz w:val="24"/>
          <w:szCs w:val="24"/>
          <w:lang w:eastAsia="cs-CZ"/>
        </w:rPr>
      </w:pPr>
      <w:r>
        <w:rPr>
          <w:rFonts w:ascii="Arial" w:eastAsia="Times New Roman" w:hAnsi="Arial" w:cs="Arial"/>
          <w:b/>
          <w:bCs/>
          <w:sz w:val="24"/>
          <w:szCs w:val="24"/>
          <w:lang w:eastAsia="cs-CZ"/>
        </w:rPr>
        <w:br w:type="page"/>
      </w:r>
    </w:p>
    <w:p w14:paraId="31ECF1B0" w14:textId="79143C58"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lastRenderedPageBreak/>
        <w:t>Článek XV</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C84688">
      <w:p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C84688">
      <w:pPr>
        <w:spacing w:after="0" w:line="240" w:lineRule="auto"/>
        <w:ind w:right="68"/>
        <w:jc w:val="both"/>
        <w:rPr>
          <w:rFonts w:ascii="Times New Roman" w:eastAsia="Times New Roman" w:hAnsi="Times New Roman"/>
          <w:bCs/>
          <w:lang w:eastAsia="cs-CZ"/>
        </w:rPr>
      </w:pPr>
    </w:p>
    <w:p w14:paraId="44B98CD2" w14:textId="3EA19050" w:rsidR="00C84688" w:rsidRDefault="00C84688" w:rsidP="00C84688">
      <w:pPr>
        <w:tabs>
          <w:tab w:val="num" w:pos="426"/>
        </w:tabs>
        <w:spacing w:after="0" w:line="240" w:lineRule="auto"/>
        <w:ind w:left="-5"/>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C84688">
        <w:rPr>
          <w:rFonts w:ascii="Times New Roman" w:eastAsia="Times New Roman" w:hAnsi="Times New Roman"/>
          <w:lang w:eastAsia="cs-CZ"/>
        </w:rPr>
        <w:t>..</w:t>
      </w:r>
      <w:proofErr w:type="gramEnd"/>
      <w:r w:rsidRPr="00C84688">
        <w:rPr>
          <w:rFonts w:ascii="Times New Roman" w:eastAsia="Times New Roman" w:hAnsi="Times New Roman"/>
          <w:lang w:eastAsia="cs-CZ"/>
        </w:rPr>
        <w:t>……./</w:t>
      </w:r>
      <w:proofErr w:type="spellStart"/>
      <w:r w:rsidRPr="00C84688">
        <w:rPr>
          <w:rFonts w:ascii="Times New Roman" w:eastAsia="Times New Roman" w:hAnsi="Times New Roman"/>
          <w:lang w:eastAsia="cs-CZ"/>
        </w:rPr>
        <w:t>RMOb-Sle</w:t>
      </w:r>
      <w:proofErr w:type="spellEnd"/>
      <w:r w:rsidRPr="00C84688">
        <w:rPr>
          <w:rFonts w:ascii="Times New Roman" w:eastAsia="Times New Roman" w:hAnsi="Times New Roman"/>
          <w:lang w:eastAsia="cs-CZ"/>
        </w:rPr>
        <w:t>/</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475266EE" w14:textId="77777777" w:rsidR="00842FDB" w:rsidRDefault="00842FDB" w:rsidP="00A932E4">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1FF6F2A3"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5FC71242" w14:textId="77777777" w:rsidR="007B5E2F" w:rsidRDefault="007B5E2F" w:rsidP="00C84688">
      <w:pPr>
        <w:tabs>
          <w:tab w:val="num" w:pos="426"/>
        </w:tabs>
        <w:spacing w:after="0" w:line="240" w:lineRule="auto"/>
        <w:ind w:left="-5"/>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7777777"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AA704C">
        <w:rPr>
          <w:rFonts w:ascii="Times New Roman" w:eastAsia="Times New Roman" w:hAnsi="Times New Roman"/>
          <w:b/>
          <w:lang w:eastAsia="cs-CZ"/>
        </w:rPr>
        <w:t>Mgr</w:t>
      </w:r>
      <w:r w:rsidR="001D1EA1" w:rsidRPr="00F00FC1">
        <w:rPr>
          <w:rFonts w:ascii="Times New Roman" w:eastAsia="Times New Roman" w:hAnsi="Times New Roman"/>
          <w:b/>
          <w:lang w:eastAsia="cs-CZ"/>
        </w:rPr>
        <w:t>.</w:t>
      </w:r>
      <w:r w:rsidR="009900D3" w:rsidRPr="00F00FC1">
        <w:rPr>
          <w:rFonts w:ascii="Times New Roman" w:eastAsia="Times New Roman" w:hAnsi="Times New Roman"/>
          <w:b/>
          <w:lang w:eastAsia="cs-CZ"/>
        </w:rPr>
        <w:t xml:space="preserve"> </w:t>
      </w:r>
      <w:r w:rsidRPr="00F00FC1">
        <w:rPr>
          <w:rFonts w:ascii="Times New Roman" w:eastAsia="Times New Roman" w:hAnsi="Times New Roman"/>
          <w:b/>
          <w:lang w:eastAsia="cs-CZ"/>
        </w:rPr>
        <w:t>Richard Vereš</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77777777"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9900D3" w:rsidRPr="00B562A9">
        <w:rPr>
          <w:rFonts w:ascii="Times New Roman" w:eastAsia="Times New Roman" w:hAnsi="Times New Roman"/>
          <w:lang w:eastAsia="cs-CZ"/>
        </w:rPr>
        <w:t xml:space="preserve">   </w:t>
      </w:r>
      <w:r w:rsidRPr="00B562A9">
        <w:rPr>
          <w:rFonts w:ascii="Times New Roman" w:eastAsia="Times New Roman" w:hAnsi="Times New Roman"/>
          <w:lang w:eastAsia="cs-CZ"/>
        </w:rPr>
        <w:t xml:space="preserve"> 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5DFC" w14:textId="77777777" w:rsidR="00E854DD" w:rsidRDefault="00E854DD" w:rsidP="00C84688">
      <w:pPr>
        <w:spacing w:after="0" w:line="240" w:lineRule="auto"/>
      </w:pPr>
      <w:r>
        <w:separator/>
      </w:r>
    </w:p>
  </w:endnote>
  <w:endnote w:type="continuationSeparator" w:id="0">
    <w:p w14:paraId="7C5BA5F2" w14:textId="77777777" w:rsidR="00E854DD" w:rsidRDefault="00E854DD"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8B8F" w14:textId="1758174A"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688" w:rsidRPr="00831369">
      <w:rPr>
        <w:rFonts w:ascii="Arial" w:eastAsia="Times New Roman" w:hAnsi="Arial" w:cs="Arial"/>
        <w:color w:val="003C69"/>
        <w:sz w:val="16"/>
        <w:szCs w:val="24"/>
        <w:lang w:eastAsia="cs-CZ"/>
      </w:rPr>
      <w:fldChar w:fldCharType="begin"/>
    </w:r>
    <w:r w:rsidR="00C84688" w:rsidRPr="00831369">
      <w:rPr>
        <w:rFonts w:ascii="Arial" w:eastAsia="Times New Roman" w:hAnsi="Arial" w:cs="Arial"/>
        <w:color w:val="003C69"/>
        <w:sz w:val="16"/>
        <w:szCs w:val="24"/>
        <w:lang w:eastAsia="cs-CZ"/>
      </w:rPr>
      <w:instrText xml:space="preserve"> PAGE </w:instrText>
    </w:r>
    <w:r w:rsidR="00C84688"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00C84688" w:rsidRPr="00831369">
      <w:rPr>
        <w:rFonts w:ascii="Arial" w:eastAsia="Times New Roman" w:hAnsi="Arial" w:cs="Arial"/>
        <w:color w:val="003C69"/>
        <w:sz w:val="16"/>
        <w:szCs w:val="24"/>
        <w:lang w:eastAsia="cs-CZ"/>
      </w:rPr>
      <w:fldChar w:fldCharType="end"/>
    </w:r>
    <w:r w:rsidR="00C84688"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98476B">
      <w:rPr>
        <w:rFonts w:ascii="Arial" w:eastAsia="Times New Roman" w:hAnsi="Arial" w:cs="Arial"/>
        <w:color w:val="003C69"/>
        <w:sz w:val="16"/>
        <w:szCs w:val="24"/>
        <w:lang w:eastAsia="cs-CZ"/>
      </w:rPr>
      <w:t>6</w:t>
    </w:r>
    <w:r w:rsidR="00652811" w:rsidRPr="00831369">
      <w:rPr>
        <w:rFonts w:ascii="Arial" w:eastAsia="Times New Roman" w:hAnsi="Arial" w:cs="Arial"/>
        <w:color w:val="0070C0"/>
        <w:sz w:val="16"/>
        <w:szCs w:val="16"/>
        <w:lang w:eastAsia="cs-CZ"/>
      </w:rPr>
      <w:t xml:space="preserve"> </w:t>
    </w:r>
    <w:r w:rsidR="00C84688"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2" w:name="_Hlk184131684"/>
    <w:r w:rsidR="008356E3" w:rsidRPr="008356E3">
      <w:rPr>
        <w:rFonts w:ascii="Arial" w:eastAsia="Times New Roman" w:hAnsi="Arial" w:cs="Arial"/>
        <w:b/>
        <w:bCs/>
        <w:color w:val="003C69"/>
        <w:sz w:val="16"/>
        <w:szCs w:val="24"/>
        <w:lang w:eastAsia="cs-CZ"/>
      </w:rPr>
      <w:t xml:space="preserve">„Regenerace </w:t>
    </w:r>
    <w:r w:rsidR="008D0C01">
      <w:rPr>
        <w:rFonts w:ascii="Arial" w:eastAsia="Times New Roman" w:hAnsi="Arial" w:cs="Arial"/>
        <w:b/>
        <w:bCs/>
        <w:color w:val="003C69"/>
        <w:sz w:val="16"/>
        <w:szCs w:val="24"/>
        <w:lang w:eastAsia="cs-CZ"/>
      </w:rPr>
      <w:t>sídliště Kamenec – II. etapa</w:t>
    </w:r>
    <w:r w:rsidR="004F018A">
      <w:rPr>
        <w:rFonts w:ascii="Arial" w:eastAsia="Times New Roman" w:hAnsi="Arial" w:cs="Arial"/>
        <w:b/>
        <w:bCs/>
        <w:color w:val="003C69"/>
        <w:sz w:val="16"/>
        <w:szCs w:val="24"/>
        <w:lang w:eastAsia="cs-CZ"/>
      </w:rPr>
      <w:t>“</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41E5" w14:textId="77777777" w:rsidR="00E854DD" w:rsidRDefault="00E854DD" w:rsidP="00C84688">
      <w:pPr>
        <w:spacing w:after="0" w:line="240" w:lineRule="auto"/>
      </w:pPr>
      <w:r>
        <w:separator/>
      </w:r>
    </w:p>
  </w:footnote>
  <w:footnote w:type="continuationSeparator" w:id="0">
    <w:p w14:paraId="6CD22501" w14:textId="77777777" w:rsidR="00E854DD" w:rsidRDefault="00E854DD"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860262">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298231E0" w:rsidR="00C84688" w:rsidRDefault="00C84688" w:rsidP="00C84688">
                          <w:pPr>
                            <w:jc w:val="right"/>
                            <w:rPr>
                              <w:rFonts w:ascii="Arial" w:hAnsi="Arial" w:cs="Arial"/>
                              <w:b/>
                              <w:color w:val="00ADD0"/>
                              <w:sz w:val="40"/>
                              <w:szCs w:val="40"/>
                            </w:rPr>
                          </w:pPr>
                          <w:r>
                            <w:rPr>
                              <w:rFonts w:ascii="Arial" w:hAnsi="Arial" w:cs="Arial"/>
                              <w:b/>
                              <w:color w:val="00ADD0"/>
                              <w:sz w:val="40"/>
                              <w:szCs w:val="40"/>
                            </w:rPr>
                            <w:t>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left:0;text-align:left;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298231E0" w:rsidR="00C84688" w:rsidRDefault="00C84688" w:rsidP="00C84688">
                    <w:pPr>
                      <w:jc w:val="right"/>
                      <w:rPr>
                        <w:rFonts w:ascii="Arial" w:hAnsi="Arial" w:cs="Arial"/>
                        <w:b/>
                        <w:color w:val="00ADD0"/>
                        <w:sz w:val="40"/>
                        <w:szCs w:val="40"/>
                      </w:rPr>
                    </w:pPr>
                    <w:r>
                      <w:rPr>
                        <w:rFonts w:ascii="Arial" w:hAnsi="Arial" w:cs="Arial"/>
                        <w:b/>
                        <w:color w:val="00ADD0"/>
                        <w:sz w:val="40"/>
                        <w:szCs w:val="40"/>
                      </w:rPr>
                      <w:t>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56B4667C" w14:textId="4220A207" w:rsidR="001400A4" w:rsidRPr="00C84688" w:rsidRDefault="00C84688" w:rsidP="00860262">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5FD8C908" w:rsidR="00C84688" w:rsidRPr="00C84688" w:rsidRDefault="00C84688" w:rsidP="00860262">
    <w:pPr>
      <w:widowControl w:val="0"/>
      <w:autoSpaceDE w:val="0"/>
      <w:autoSpaceDN w:val="0"/>
      <w:adjustRightInd w:val="0"/>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w:t>
    </w:r>
    <w:r w:rsidR="001400A4">
      <w:rPr>
        <w:rFonts w:ascii="Arial" w:eastAsia="Times New Roman" w:hAnsi="Arial" w:cs="Arial"/>
        <w:b/>
        <w:color w:val="004080"/>
        <w:sz w:val="20"/>
        <w:szCs w:val="20"/>
        <w:lang w:eastAsia="cs-CZ"/>
      </w:rPr>
      <w:t>d</w:t>
    </w:r>
    <w:r w:rsidRPr="00C84688">
      <w:rPr>
        <w:rFonts w:ascii="Arial" w:eastAsia="Times New Roman" w:hAnsi="Arial" w:cs="Arial"/>
        <w:b/>
        <w:color w:val="004080"/>
        <w:sz w:val="20"/>
        <w:szCs w:val="20"/>
        <w:lang w:eastAsia="cs-CZ"/>
      </w:rPr>
      <w:t xml:space="preserve">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D7A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A12B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3" w15:restartNumberingAfterBreak="0">
    <w:nsid w:val="01553858"/>
    <w:multiLevelType w:val="hybridMultilevel"/>
    <w:tmpl w:val="70CA6176"/>
    <w:lvl w:ilvl="0" w:tplc="0BC02206">
      <w:start w:val="1"/>
      <w:numFmt w:val="decimal"/>
      <w:lvlText w:val="%1."/>
      <w:lvlJc w:val="left"/>
      <w:pPr>
        <w:tabs>
          <w:tab w:val="num" w:pos="397"/>
        </w:tabs>
        <w:ind w:left="397" w:hanging="397"/>
      </w:pPr>
      <w:rPr>
        <w:rFonts w:hint="default"/>
        <w:b/>
        <w:i w:val="0"/>
        <w:color w:val="auto"/>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1E5BB6"/>
    <w:multiLevelType w:val="hybridMultilevel"/>
    <w:tmpl w:val="301289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8511A83"/>
    <w:multiLevelType w:val="hybridMultilevel"/>
    <w:tmpl w:val="CFAECA7A"/>
    <w:lvl w:ilvl="0" w:tplc="5CA6E128">
      <w:start w:val="1"/>
      <w:numFmt w:val="decimal"/>
      <w:lvlText w:val="%1."/>
      <w:lvlJc w:val="left"/>
      <w:pPr>
        <w:ind w:left="720" w:hanging="360"/>
      </w:pPr>
      <w:rPr>
        <w:rFonts w:ascii="Times New Roman" w:eastAsia="Times New Roman" w:hAnsi="Times New Roman" w:cs="Times New Roman"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487795B"/>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B7D07DC"/>
    <w:multiLevelType w:val="hybridMultilevel"/>
    <w:tmpl w:val="69AAFCDA"/>
    <w:lvl w:ilvl="0" w:tplc="20BE9658">
      <w:start w:val="9"/>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942603"/>
    <w:multiLevelType w:val="hybridMultilevel"/>
    <w:tmpl w:val="B33CB25A"/>
    <w:lvl w:ilvl="0" w:tplc="CED0774E">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7E4102"/>
    <w:multiLevelType w:val="hybridMultilevel"/>
    <w:tmpl w:val="9C584548"/>
    <w:lvl w:ilvl="0" w:tplc="19A8B560">
      <w:start w:val="2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09B0CFA"/>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AC67DB"/>
    <w:multiLevelType w:val="hybridMultilevel"/>
    <w:tmpl w:val="0CA44ADC"/>
    <w:lvl w:ilvl="0" w:tplc="4D8A2B52">
      <w:start w:val="1"/>
      <w:numFmt w:val="bullet"/>
      <w:lvlText w:val="-"/>
      <w:lvlJc w:val="left"/>
      <w:pPr>
        <w:ind w:left="720" w:hanging="360"/>
      </w:pPr>
      <w:rPr>
        <w:rFonts w:ascii="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62E7162B"/>
    <w:multiLevelType w:val="hybridMultilevel"/>
    <w:tmpl w:val="3086DAF2"/>
    <w:lvl w:ilvl="0" w:tplc="2D40626A">
      <w:start w:val="1"/>
      <w:numFmt w:val="lowerLetter"/>
      <w:lvlText w:val="%1)"/>
      <w:lvlJc w:val="left"/>
      <w:pPr>
        <w:ind w:left="928"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FE1EE1"/>
    <w:multiLevelType w:val="hybridMultilevel"/>
    <w:tmpl w:val="45380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8" w15:restartNumberingAfterBreak="0">
    <w:nsid w:val="7451282D"/>
    <w:multiLevelType w:val="hybridMultilevel"/>
    <w:tmpl w:val="DD14D1C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9"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0" w15:restartNumberingAfterBreak="0">
    <w:nsid w:val="75615E6D"/>
    <w:multiLevelType w:val="hybridMultilevel"/>
    <w:tmpl w:val="245A008C"/>
    <w:lvl w:ilvl="0" w:tplc="79063E8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3" w15:restartNumberingAfterBreak="0">
    <w:nsid w:val="7EDC0DD9"/>
    <w:multiLevelType w:val="hybridMultilevel"/>
    <w:tmpl w:val="A6FCA9F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0044051">
    <w:abstractNumId w:val="39"/>
  </w:num>
  <w:num w:numId="2" w16cid:durableId="1470973106">
    <w:abstractNumId w:val="35"/>
  </w:num>
  <w:num w:numId="3" w16cid:durableId="391390925">
    <w:abstractNumId w:val="28"/>
  </w:num>
  <w:num w:numId="4" w16cid:durableId="1284193325">
    <w:abstractNumId w:val="13"/>
  </w:num>
  <w:num w:numId="5" w16cid:durableId="974022753">
    <w:abstractNumId w:val="31"/>
  </w:num>
  <w:num w:numId="6" w16cid:durableId="479536228">
    <w:abstractNumId w:val="41"/>
  </w:num>
  <w:num w:numId="7" w16cid:durableId="1190026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9573943">
    <w:abstractNumId w:val="51"/>
  </w:num>
  <w:num w:numId="9" w16cid:durableId="266472863">
    <w:abstractNumId w:val="34"/>
  </w:num>
  <w:num w:numId="10" w16cid:durableId="1027679724">
    <w:abstractNumId w:val="44"/>
  </w:num>
  <w:num w:numId="11" w16cid:durableId="105590091">
    <w:abstractNumId w:val="24"/>
  </w:num>
  <w:num w:numId="12" w16cid:durableId="1499229250">
    <w:abstractNumId w:val="27"/>
  </w:num>
  <w:num w:numId="13" w16cid:durableId="2129278436">
    <w:abstractNumId w:val="16"/>
  </w:num>
  <w:num w:numId="14" w16cid:durableId="429930502">
    <w:abstractNumId w:val="7"/>
  </w:num>
  <w:num w:numId="15" w16cid:durableId="2100759915">
    <w:abstractNumId w:val="2"/>
  </w:num>
  <w:num w:numId="16" w16cid:durableId="120878297">
    <w:abstractNumId w:val="15"/>
  </w:num>
  <w:num w:numId="17" w16cid:durableId="126437535">
    <w:abstractNumId w:val="45"/>
  </w:num>
  <w:num w:numId="18" w16cid:durableId="1119184889">
    <w:abstractNumId w:val="37"/>
  </w:num>
  <w:num w:numId="19" w16cid:durableId="382676447">
    <w:abstractNumId w:val="47"/>
  </w:num>
  <w:num w:numId="20" w16cid:durableId="1869096266">
    <w:abstractNumId w:val="52"/>
  </w:num>
  <w:num w:numId="21" w16cid:durableId="855192052">
    <w:abstractNumId w:val="14"/>
  </w:num>
  <w:num w:numId="22" w16cid:durableId="454176642">
    <w:abstractNumId w:val="12"/>
  </w:num>
  <w:num w:numId="23" w16cid:durableId="1031607765">
    <w:abstractNumId w:val="29"/>
  </w:num>
  <w:num w:numId="24" w16cid:durableId="858814284">
    <w:abstractNumId w:val="25"/>
  </w:num>
  <w:num w:numId="25" w16cid:durableId="1936398483">
    <w:abstractNumId w:val="26"/>
  </w:num>
  <w:num w:numId="26" w16cid:durableId="1834444330">
    <w:abstractNumId w:val="9"/>
  </w:num>
  <w:num w:numId="27" w16cid:durableId="513685646">
    <w:abstractNumId w:val="20"/>
  </w:num>
  <w:num w:numId="28" w16cid:durableId="1564757872">
    <w:abstractNumId w:val="42"/>
  </w:num>
  <w:num w:numId="29" w16cid:durableId="879632973">
    <w:abstractNumId w:val="23"/>
  </w:num>
  <w:num w:numId="30" w16cid:durableId="662394264">
    <w:abstractNumId w:val="49"/>
  </w:num>
  <w:num w:numId="31" w16cid:durableId="1933584767">
    <w:abstractNumId w:val="3"/>
  </w:num>
  <w:num w:numId="32" w16cid:durableId="809176302">
    <w:abstractNumId w:val="5"/>
  </w:num>
  <w:num w:numId="33" w16cid:durableId="1221943406">
    <w:abstractNumId w:val="43"/>
  </w:num>
  <w:num w:numId="34" w16cid:durableId="9717867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1667115">
    <w:abstractNumId w:val="4"/>
  </w:num>
  <w:num w:numId="36" w16cid:durableId="1221988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8572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0011308">
    <w:abstractNumId w:val="5"/>
  </w:num>
  <w:num w:numId="39" w16cid:durableId="1604994082">
    <w:abstractNumId w:val="30"/>
  </w:num>
  <w:num w:numId="40" w16cid:durableId="486360915">
    <w:abstractNumId w:val="18"/>
  </w:num>
  <w:num w:numId="41" w16cid:durableId="121189373">
    <w:abstractNumId w:val="19"/>
  </w:num>
  <w:num w:numId="42" w16cid:durableId="572161957">
    <w:abstractNumId w:val="21"/>
  </w:num>
  <w:num w:numId="43" w16cid:durableId="750540662">
    <w:abstractNumId w:val="48"/>
  </w:num>
  <w:num w:numId="44" w16cid:durableId="475343137">
    <w:abstractNumId w:val="36"/>
  </w:num>
  <w:num w:numId="45" w16cid:durableId="148447767">
    <w:abstractNumId w:val="0"/>
  </w:num>
  <w:num w:numId="46" w16cid:durableId="52118566">
    <w:abstractNumId w:val="1"/>
  </w:num>
  <w:num w:numId="47" w16cid:durableId="929503950">
    <w:abstractNumId w:val="53"/>
  </w:num>
  <w:num w:numId="48" w16cid:durableId="1103375652">
    <w:abstractNumId w:val="11"/>
  </w:num>
  <w:num w:numId="49" w16cid:durableId="114837034">
    <w:abstractNumId w:val="32"/>
  </w:num>
  <w:num w:numId="50" w16cid:durableId="424230480">
    <w:abstractNumId w:val="40"/>
  </w:num>
  <w:num w:numId="51" w16cid:durableId="339703964">
    <w:abstractNumId w:val="50"/>
  </w:num>
  <w:num w:numId="52" w16cid:durableId="490560210">
    <w:abstractNumId w:val="46"/>
  </w:num>
  <w:num w:numId="53" w16cid:durableId="1858234628">
    <w:abstractNumId w:val="10"/>
  </w:num>
  <w:num w:numId="54" w16cid:durableId="12269264">
    <w:abstractNumId w:val="6"/>
  </w:num>
  <w:num w:numId="55" w16cid:durableId="883908310">
    <w:abstractNumId w:val="38"/>
  </w:num>
  <w:num w:numId="56" w16cid:durableId="1835023175">
    <w:abstractNumId w:val="22"/>
  </w:num>
  <w:num w:numId="57" w16cid:durableId="1758284425">
    <w:abstractNumId w:val="17"/>
  </w:num>
  <w:num w:numId="58" w16cid:durableId="1313022752">
    <w:abstractNumId w:val="8"/>
  </w:num>
  <w:num w:numId="59" w16cid:durableId="9525970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7011"/>
    <w:rsid w:val="000339BA"/>
    <w:rsid w:val="00034561"/>
    <w:rsid w:val="00036E5B"/>
    <w:rsid w:val="00037A2A"/>
    <w:rsid w:val="0004329A"/>
    <w:rsid w:val="00053B08"/>
    <w:rsid w:val="000646A1"/>
    <w:rsid w:val="0006559A"/>
    <w:rsid w:val="00070BE4"/>
    <w:rsid w:val="00083938"/>
    <w:rsid w:val="00087FA7"/>
    <w:rsid w:val="00096C11"/>
    <w:rsid w:val="000A0423"/>
    <w:rsid w:val="000A29BA"/>
    <w:rsid w:val="000B1487"/>
    <w:rsid w:val="000B27E5"/>
    <w:rsid w:val="000C3182"/>
    <w:rsid w:val="000C5E27"/>
    <w:rsid w:val="000C605B"/>
    <w:rsid w:val="000D2FA0"/>
    <w:rsid w:val="000D41AA"/>
    <w:rsid w:val="000D6B8B"/>
    <w:rsid w:val="000D77B3"/>
    <w:rsid w:val="000E0AD6"/>
    <w:rsid w:val="000F1AB9"/>
    <w:rsid w:val="000F3375"/>
    <w:rsid w:val="000F50D5"/>
    <w:rsid w:val="000F5D3E"/>
    <w:rsid w:val="001029BD"/>
    <w:rsid w:val="00106474"/>
    <w:rsid w:val="00111010"/>
    <w:rsid w:val="00117CA7"/>
    <w:rsid w:val="00122CAA"/>
    <w:rsid w:val="00124C37"/>
    <w:rsid w:val="00136A52"/>
    <w:rsid w:val="00137ACA"/>
    <w:rsid w:val="001400A4"/>
    <w:rsid w:val="00143151"/>
    <w:rsid w:val="001466BE"/>
    <w:rsid w:val="001522CC"/>
    <w:rsid w:val="00153713"/>
    <w:rsid w:val="00154C73"/>
    <w:rsid w:val="001572BB"/>
    <w:rsid w:val="00162496"/>
    <w:rsid w:val="00165287"/>
    <w:rsid w:val="00171DBC"/>
    <w:rsid w:val="001723CD"/>
    <w:rsid w:val="0017356D"/>
    <w:rsid w:val="00174D36"/>
    <w:rsid w:val="00176243"/>
    <w:rsid w:val="001826A9"/>
    <w:rsid w:val="00193ACE"/>
    <w:rsid w:val="001B677C"/>
    <w:rsid w:val="001B69CB"/>
    <w:rsid w:val="001C0051"/>
    <w:rsid w:val="001C086F"/>
    <w:rsid w:val="001C1173"/>
    <w:rsid w:val="001C6ABE"/>
    <w:rsid w:val="001D1EA1"/>
    <w:rsid w:val="001D2A8A"/>
    <w:rsid w:val="001D31CB"/>
    <w:rsid w:val="001E0BDC"/>
    <w:rsid w:val="001E283C"/>
    <w:rsid w:val="00206B0B"/>
    <w:rsid w:val="002261C5"/>
    <w:rsid w:val="002309EC"/>
    <w:rsid w:val="00232039"/>
    <w:rsid w:val="00232D5E"/>
    <w:rsid w:val="00232F34"/>
    <w:rsid w:val="00233350"/>
    <w:rsid w:val="002435C1"/>
    <w:rsid w:val="00254BDC"/>
    <w:rsid w:val="00262432"/>
    <w:rsid w:val="002854AC"/>
    <w:rsid w:val="00290350"/>
    <w:rsid w:val="002915A7"/>
    <w:rsid w:val="002B023E"/>
    <w:rsid w:val="002B273F"/>
    <w:rsid w:val="002B3000"/>
    <w:rsid w:val="002B429B"/>
    <w:rsid w:val="002B4EAF"/>
    <w:rsid w:val="002B50E7"/>
    <w:rsid w:val="002C254E"/>
    <w:rsid w:val="002C291C"/>
    <w:rsid w:val="002E5390"/>
    <w:rsid w:val="002E715A"/>
    <w:rsid w:val="003114E9"/>
    <w:rsid w:val="00312EBA"/>
    <w:rsid w:val="0032674B"/>
    <w:rsid w:val="00337072"/>
    <w:rsid w:val="00337918"/>
    <w:rsid w:val="00344299"/>
    <w:rsid w:val="00345759"/>
    <w:rsid w:val="00346FAC"/>
    <w:rsid w:val="003519AF"/>
    <w:rsid w:val="003617B1"/>
    <w:rsid w:val="00371F06"/>
    <w:rsid w:val="00372264"/>
    <w:rsid w:val="00373588"/>
    <w:rsid w:val="0037400B"/>
    <w:rsid w:val="00375CB1"/>
    <w:rsid w:val="003847AB"/>
    <w:rsid w:val="00385399"/>
    <w:rsid w:val="00390190"/>
    <w:rsid w:val="00391F56"/>
    <w:rsid w:val="00394EB2"/>
    <w:rsid w:val="003A3D48"/>
    <w:rsid w:val="003B430A"/>
    <w:rsid w:val="003B584B"/>
    <w:rsid w:val="003B670E"/>
    <w:rsid w:val="003C00C0"/>
    <w:rsid w:val="003C2A42"/>
    <w:rsid w:val="003C7863"/>
    <w:rsid w:val="003D198D"/>
    <w:rsid w:val="003D5CFE"/>
    <w:rsid w:val="003E14A5"/>
    <w:rsid w:val="003F0371"/>
    <w:rsid w:val="003F0B5D"/>
    <w:rsid w:val="003F29A2"/>
    <w:rsid w:val="00416AFA"/>
    <w:rsid w:val="0042256D"/>
    <w:rsid w:val="00423520"/>
    <w:rsid w:val="004405E0"/>
    <w:rsid w:val="00442984"/>
    <w:rsid w:val="00452000"/>
    <w:rsid w:val="0045416F"/>
    <w:rsid w:val="00455092"/>
    <w:rsid w:val="004560B3"/>
    <w:rsid w:val="004674EE"/>
    <w:rsid w:val="00470878"/>
    <w:rsid w:val="00473A08"/>
    <w:rsid w:val="00473C5A"/>
    <w:rsid w:val="004913E1"/>
    <w:rsid w:val="00493604"/>
    <w:rsid w:val="0049589E"/>
    <w:rsid w:val="004A3BC8"/>
    <w:rsid w:val="004A7D0B"/>
    <w:rsid w:val="004B09FC"/>
    <w:rsid w:val="004C1CEC"/>
    <w:rsid w:val="004E5FF5"/>
    <w:rsid w:val="004F018A"/>
    <w:rsid w:val="004F26C1"/>
    <w:rsid w:val="00501661"/>
    <w:rsid w:val="00503026"/>
    <w:rsid w:val="00506AEF"/>
    <w:rsid w:val="00522DC2"/>
    <w:rsid w:val="005528A2"/>
    <w:rsid w:val="00553A63"/>
    <w:rsid w:val="00557D41"/>
    <w:rsid w:val="0056573F"/>
    <w:rsid w:val="005702B6"/>
    <w:rsid w:val="0057237E"/>
    <w:rsid w:val="00572694"/>
    <w:rsid w:val="00580165"/>
    <w:rsid w:val="00583B95"/>
    <w:rsid w:val="00583D3C"/>
    <w:rsid w:val="00587BB0"/>
    <w:rsid w:val="0059678E"/>
    <w:rsid w:val="005A21A3"/>
    <w:rsid w:val="005A23FB"/>
    <w:rsid w:val="005A26BA"/>
    <w:rsid w:val="005A749C"/>
    <w:rsid w:val="005B03B6"/>
    <w:rsid w:val="005B593E"/>
    <w:rsid w:val="005C013A"/>
    <w:rsid w:val="005C038B"/>
    <w:rsid w:val="005D283D"/>
    <w:rsid w:val="005D6FDC"/>
    <w:rsid w:val="005E24BE"/>
    <w:rsid w:val="005E41C9"/>
    <w:rsid w:val="005F4DF6"/>
    <w:rsid w:val="005F6DC9"/>
    <w:rsid w:val="00611528"/>
    <w:rsid w:val="006131E8"/>
    <w:rsid w:val="00614D24"/>
    <w:rsid w:val="006152A8"/>
    <w:rsid w:val="00624F5F"/>
    <w:rsid w:val="00632E9E"/>
    <w:rsid w:val="00637DE5"/>
    <w:rsid w:val="00644D73"/>
    <w:rsid w:val="00645913"/>
    <w:rsid w:val="00646119"/>
    <w:rsid w:val="00652811"/>
    <w:rsid w:val="00670C57"/>
    <w:rsid w:val="006821C3"/>
    <w:rsid w:val="00683D36"/>
    <w:rsid w:val="006947B8"/>
    <w:rsid w:val="00695501"/>
    <w:rsid w:val="00695930"/>
    <w:rsid w:val="00697C01"/>
    <w:rsid w:val="006A1B57"/>
    <w:rsid w:val="006A3C43"/>
    <w:rsid w:val="006A626B"/>
    <w:rsid w:val="006A6A2F"/>
    <w:rsid w:val="006B0F03"/>
    <w:rsid w:val="006B3B27"/>
    <w:rsid w:val="006B4050"/>
    <w:rsid w:val="006C37D2"/>
    <w:rsid w:val="006C7150"/>
    <w:rsid w:val="006C7AA7"/>
    <w:rsid w:val="006D3F57"/>
    <w:rsid w:val="006E493A"/>
    <w:rsid w:val="006E621E"/>
    <w:rsid w:val="006F0601"/>
    <w:rsid w:val="006F0D58"/>
    <w:rsid w:val="006F4D91"/>
    <w:rsid w:val="00704585"/>
    <w:rsid w:val="007163E0"/>
    <w:rsid w:val="00717340"/>
    <w:rsid w:val="0072323A"/>
    <w:rsid w:val="00725240"/>
    <w:rsid w:val="00727601"/>
    <w:rsid w:val="00734BB7"/>
    <w:rsid w:val="0074412C"/>
    <w:rsid w:val="00750CDC"/>
    <w:rsid w:val="00755892"/>
    <w:rsid w:val="00777C0F"/>
    <w:rsid w:val="00783F9B"/>
    <w:rsid w:val="00787C50"/>
    <w:rsid w:val="00792074"/>
    <w:rsid w:val="00796D87"/>
    <w:rsid w:val="007A7AE8"/>
    <w:rsid w:val="007B0E66"/>
    <w:rsid w:val="007B2C96"/>
    <w:rsid w:val="007B5E2F"/>
    <w:rsid w:val="007C2372"/>
    <w:rsid w:val="007D082E"/>
    <w:rsid w:val="007D1A91"/>
    <w:rsid w:val="007D52E9"/>
    <w:rsid w:val="007E16B3"/>
    <w:rsid w:val="007E7167"/>
    <w:rsid w:val="007F0E7A"/>
    <w:rsid w:val="007F2A80"/>
    <w:rsid w:val="00803580"/>
    <w:rsid w:val="00804EBA"/>
    <w:rsid w:val="0080696C"/>
    <w:rsid w:val="008132B8"/>
    <w:rsid w:val="008159CF"/>
    <w:rsid w:val="00820719"/>
    <w:rsid w:val="008212C8"/>
    <w:rsid w:val="00824DA6"/>
    <w:rsid w:val="00831369"/>
    <w:rsid w:val="008356E3"/>
    <w:rsid w:val="00840899"/>
    <w:rsid w:val="00842BA6"/>
    <w:rsid w:val="00842FDB"/>
    <w:rsid w:val="0084417B"/>
    <w:rsid w:val="00847F25"/>
    <w:rsid w:val="00847F4B"/>
    <w:rsid w:val="00850CC0"/>
    <w:rsid w:val="00860262"/>
    <w:rsid w:val="0087087C"/>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0012"/>
    <w:rsid w:val="008D0C01"/>
    <w:rsid w:val="008D59BD"/>
    <w:rsid w:val="008D638F"/>
    <w:rsid w:val="008D7757"/>
    <w:rsid w:val="008E3F04"/>
    <w:rsid w:val="008E45A1"/>
    <w:rsid w:val="008F4A4B"/>
    <w:rsid w:val="0090493A"/>
    <w:rsid w:val="0091445D"/>
    <w:rsid w:val="009174C4"/>
    <w:rsid w:val="00921CF7"/>
    <w:rsid w:val="00923280"/>
    <w:rsid w:val="00933B96"/>
    <w:rsid w:val="00942468"/>
    <w:rsid w:val="00953657"/>
    <w:rsid w:val="00957D05"/>
    <w:rsid w:val="00962198"/>
    <w:rsid w:val="0096715C"/>
    <w:rsid w:val="00977A6A"/>
    <w:rsid w:val="009846A5"/>
    <w:rsid w:val="0098476B"/>
    <w:rsid w:val="00984C67"/>
    <w:rsid w:val="0098638C"/>
    <w:rsid w:val="009900D3"/>
    <w:rsid w:val="00990F71"/>
    <w:rsid w:val="00991AC9"/>
    <w:rsid w:val="00993658"/>
    <w:rsid w:val="00996DF9"/>
    <w:rsid w:val="009A788D"/>
    <w:rsid w:val="009B0336"/>
    <w:rsid w:val="009B22ED"/>
    <w:rsid w:val="009B6C7B"/>
    <w:rsid w:val="009C27BD"/>
    <w:rsid w:val="009C5605"/>
    <w:rsid w:val="009D031D"/>
    <w:rsid w:val="009D1477"/>
    <w:rsid w:val="009E3CE8"/>
    <w:rsid w:val="009E651D"/>
    <w:rsid w:val="009F08E0"/>
    <w:rsid w:val="009F33D2"/>
    <w:rsid w:val="00A01100"/>
    <w:rsid w:val="00A0790A"/>
    <w:rsid w:val="00A14337"/>
    <w:rsid w:val="00A153EF"/>
    <w:rsid w:val="00A26627"/>
    <w:rsid w:val="00A31CF5"/>
    <w:rsid w:val="00A35C47"/>
    <w:rsid w:val="00A4249A"/>
    <w:rsid w:val="00A474BA"/>
    <w:rsid w:val="00A53045"/>
    <w:rsid w:val="00A55A00"/>
    <w:rsid w:val="00A56213"/>
    <w:rsid w:val="00A629F3"/>
    <w:rsid w:val="00A64D01"/>
    <w:rsid w:val="00A72B0C"/>
    <w:rsid w:val="00A83F57"/>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785E"/>
    <w:rsid w:val="00B22876"/>
    <w:rsid w:val="00B2593A"/>
    <w:rsid w:val="00B300B7"/>
    <w:rsid w:val="00B30D64"/>
    <w:rsid w:val="00B3210B"/>
    <w:rsid w:val="00B3697A"/>
    <w:rsid w:val="00B4219B"/>
    <w:rsid w:val="00B562A9"/>
    <w:rsid w:val="00B65AA1"/>
    <w:rsid w:val="00B80A17"/>
    <w:rsid w:val="00B86878"/>
    <w:rsid w:val="00B90527"/>
    <w:rsid w:val="00B92EAC"/>
    <w:rsid w:val="00B96CD4"/>
    <w:rsid w:val="00BA001E"/>
    <w:rsid w:val="00BA6161"/>
    <w:rsid w:val="00BA6827"/>
    <w:rsid w:val="00BA71FE"/>
    <w:rsid w:val="00BB0174"/>
    <w:rsid w:val="00BB68B5"/>
    <w:rsid w:val="00BC43F1"/>
    <w:rsid w:val="00BC7A55"/>
    <w:rsid w:val="00BE5851"/>
    <w:rsid w:val="00C02ECF"/>
    <w:rsid w:val="00C0341B"/>
    <w:rsid w:val="00C053F6"/>
    <w:rsid w:val="00C11D43"/>
    <w:rsid w:val="00C1757A"/>
    <w:rsid w:val="00C17F21"/>
    <w:rsid w:val="00C218DF"/>
    <w:rsid w:val="00C33C3F"/>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1AE"/>
    <w:rsid w:val="00CA2523"/>
    <w:rsid w:val="00CA52C7"/>
    <w:rsid w:val="00CA6CAA"/>
    <w:rsid w:val="00CB2FD5"/>
    <w:rsid w:val="00CB6EDD"/>
    <w:rsid w:val="00CC0892"/>
    <w:rsid w:val="00CC219C"/>
    <w:rsid w:val="00CC33BB"/>
    <w:rsid w:val="00CD318E"/>
    <w:rsid w:val="00CD5849"/>
    <w:rsid w:val="00CE0E5F"/>
    <w:rsid w:val="00CE75E4"/>
    <w:rsid w:val="00CF0B1D"/>
    <w:rsid w:val="00CF1B81"/>
    <w:rsid w:val="00CF2974"/>
    <w:rsid w:val="00D02634"/>
    <w:rsid w:val="00D04D02"/>
    <w:rsid w:val="00D17CD2"/>
    <w:rsid w:val="00D329DB"/>
    <w:rsid w:val="00D42059"/>
    <w:rsid w:val="00D4381A"/>
    <w:rsid w:val="00D46E5C"/>
    <w:rsid w:val="00D47426"/>
    <w:rsid w:val="00D569AC"/>
    <w:rsid w:val="00D57F64"/>
    <w:rsid w:val="00D6432C"/>
    <w:rsid w:val="00D65E22"/>
    <w:rsid w:val="00D7024A"/>
    <w:rsid w:val="00D729A8"/>
    <w:rsid w:val="00D763B5"/>
    <w:rsid w:val="00D81B80"/>
    <w:rsid w:val="00D902C1"/>
    <w:rsid w:val="00D90CB7"/>
    <w:rsid w:val="00D947AC"/>
    <w:rsid w:val="00DA043C"/>
    <w:rsid w:val="00DA537D"/>
    <w:rsid w:val="00DB0ABD"/>
    <w:rsid w:val="00DC492D"/>
    <w:rsid w:val="00DD04DE"/>
    <w:rsid w:val="00DD0627"/>
    <w:rsid w:val="00DD1CA3"/>
    <w:rsid w:val="00DE3CE6"/>
    <w:rsid w:val="00E01ED9"/>
    <w:rsid w:val="00E02AC2"/>
    <w:rsid w:val="00E04D69"/>
    <w:rsid w:val="00E12225"/>
    <w:rsid w:val="00E1265D"/>
    <w:rsid w:val="00E20E4D"/>
    <w:rsid w:val="00E23551"/>
    <w:rsid w:val="00E23FFE"/>
    <w:rsid w:val="00E27C3A"/>
    <w:rsid w:val="00E31D0F"/>
    <w:rsid w:val="00E34623"/>
    <w:rsid w:val="00E41B1F"/>
    <w:rsid w:val="00E43B70"/>
    <w:rsid w:val="00E558F4"/>
    <w:rsid w:val="00E55D1C"/>
    <w:rsid w:val="00E667E1"/>
    <w:rsid w:val="00E66B85"/>
    <w:rsid w:val="00E66F7E"/>
    <w:rsid w:val="00E740B7"/>
    <w:rsid w:val="00E75D84"/>
    <w:rsid w:val="00E824BB"/>
    <w:rsid w:val="00E854DD"/>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356A"/>
    <w:rsid w:val="00EF442A"/>
    <w:rsid w:val="00EF4B94"/>
    <w:rsid w:val="00EF70CC"/>
    <w:rsid w:val="00F00FC1"/>
    <w:rsid w:val="00F073A1"/>
    <w:rsid w:val="00F07E19"/>
    <w:rsid w:val="00F173C3"/>
    <w:rsid w:val="00F34DD5"/>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430"/>
    <w:rsid w:val="00F969C1"/>
    <w:rsid w:val="00FA237A"/>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7999</Words>
  <Characters>47197</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3</cp:revision>
  <cp:lastPrinted>2022-11-09T10:04:00Z</cp:lastPrinted>
  <dcterms:created xsi:type="dcterms:W3CDTF">2025-01-31T08:07:00Z</dcterms:created>
  <dcterms:modified xsi:type="dcterms:W3CDTF">2025-02-04T06:55:00Z</dcterms:modified>
</cp:coreProperties>
</file>