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243CD71D"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2A980E99">
        <w:rPr>
          <w:rFonts w:ascii="Times New Roman" w:hAnsi="Times New Roman" w:cs="Times New Roman"/>
        </w:rPr>
        <w:t xml:space="preserve">Kupující dne </w:t>
      </w:r>
      <w:r w:rsidRPr="2A980E99">
        <w:rPr>
          <w:rFonts w:ascii="Times New Roman" w:hAnsi="Times New Roman" w:cs="Times New Roman"/>
          <w:smallCaps/>
          <w:highlight w:val="yellow"/>
        </w:rPr>
        <w:t>[●]</w:t>
      </w:r>
      <w:r w:rsidRPr="2A980E99">
        <w:rPr>
          <w:rFonts w:ascii="Times New Roman" w:hAnsi="Times New Roman" w:cs="Times New Roman"/>
        </w:rPr>
        <w:t xml:space="preserve"> 202</w:t>
      </w:r>
      <w:r w:rsidR="00670649" w:rsidRPr="2A980E99">
        <w:rPr>
          <w:rFonts w:ascii="Times New Roman" w:hAnsi="Times New Roman" w:cs="Times New Roman"/>
        </w:rPr>
        <w:t>5</w:t>
      </w:r>
      <w:r w:rsidRPr="2A980E99">
        <w:rPr>
          <w:rFonts w:ascii="Times New Roman" w:hAnsi="Times New Roman" w:cs="Times New Roman"/>
        </w:rPr>
        <w:t xml:space="preserve"> zahájil zadávací řízení na </w:t>
      </w:r>
      <w:r w:rsidR="00983C57" w:rsidRPr="2A980E99">
        <w:rPr>
          <w:rFonts w:ascii="Times New Roman" w:hAnsi="Times New Roman" w:cs="Times New Roman"/>
        </w:rPr>
        <w:t xml:space="preserve">nadlimitní sektorovou </w:t>
      </w:r>
      <w:r w:rsidR="00A14C16" w:rsidRPr="2A980E99">
        <w:rPr>
          <w:rFonts w:ascii="Times New Roman" w:hAnsi="Times New Roman" w:cs="Times New Roman"/>
        </w:rPr>
        <w:t>veřejnou zakázku na</w:t>
      </w:r>
      <w:r w:rsidR="00322F61" w:rsidRPr="2A980E99">
        <w:rPr>
          <w:rFonts w:ascii="Times New Roman" w:hAnsi="Times New Roman" w:cs="Times New Roman"/>
        </w:rPr>
        <w:t> </w:t>
      </w:r>
      <w:r w:rsidR="00A14C16" w:rsidRPr="2A980E99">
        <w:rPr>
          <w:rFonts w:ascii="Times New Roman" w:hAnsi="Times New Roman" w:cs="Times New Roman"/>
        </w:rPr>
        <w:t>dodávky s názvem „</w:t>
      </w:r>
      <w:r w:rsidR="00A14C16" w:rsidRPr="2A980E99">
        <w:rPr>
          <w:rFonts w:ascii="Times New Roman" w:hAnsi="Times New Roman" w:cs="Times New Roman"/>
          <w:i/>
          <w:iCs/>
        </w:rPr>
        <w:t xml:space="preserve">Dodávka a servis </w:t>
      </w:r>
      <w:r w:rsidR="00851FF0" w:rsidRPr="2A980E99">
        <w:rPr>
          <w:rFonts w:ascii="Times New Roman" w:hAnsi="Times New Roman" w:cs="Times New Roman"/>
          <w:i/>
          <w:iCs/>
        </w:rPr>
        <w:t>až 25 ks</w:t>
      </w:r>
      <w:r w:rsidR="001433D5" w:rsidRPr="2A980E99">
        <w:rPr>
          <w:rFonts w:ascii="Times New Roman" w:hAnsi="Times New Roman" w:cs="Times New Roman"/>
          <w:i/>
          <w:iCs/>
        </w:rPr>
        <w:t xml:space="preserve"> </w:t>
      </w:r>
      <w:r w:rsidR="00A14C16" w:rsidRPr="2A980E99">
        <w:rPr>
          <w:rFonts w:ascii="Times New Roman" w:hAnsi="Times New Roman" w:cs="Times New Roman"/>
          <w:i/>
          <w:iCs/>
        </w:rPr>
        <w:t>velko</w:t>
      </w:r>
      <w:r w:rsidR="001F1D47" w:rsidRPr="2A980E99">
        <w:rPr>
          <w:rFonts w:ascii="Times New Roman" w:hAnsi="Times New Roman" w:cs="Times New Roman"/>
          <w:i/>
          <w:iCs/>
        </w:rPr>
        <w:t>ka</w:t>
      </w:r>
      <w:r w:rsidR="00A14C16" w:rsidRPr="2A980E99">
        <w:rPr>
          <w:rFonts w:ascii="Times New Roman" w:hAnsi="Times New Roman" w:cs="Times New Roman"/>
          <w:i/>
          <w:iCs/>
        </w:rPr>
        <w:t>pacitních tramvají</w:t>
      </w:r>
      <w:r w:rsidR="00670649" w:rsidRPr="2A980E99">
        <w:rPr>
          <w:rFonts w:ascii="Times New Roman" w:hAnsi="Times New Roman" w:cs="Times New Roman"/>
          <w:i/>
          <w:iCs/>
        </w:rPr>
        <w:t xml:space="preserve"> II.</w:t>
      </w:r>
      <w:r w:rsidR="00A14C16" w:rsidRPr="2A980E99">
        <w:rPr>
          <w:rFonts w:ascii="Times New Roman" w:hAnsi="Times New Roman" w:cs="Times New Roman"/>
        </w:rPr>
        <w:t>“</w:t>
      </w:r>
      <w:r w:rsidRPr="2A980E99">
        <w:rPr>
          <w:rFonts w:ascii="Times New Roman" w:hAnsi="Times New Roman" w:cs="Times New Roman"/>
        </w:rPr>
        <w:t xml:space="preserve">, zadávanou v otevřeném </w:t>
      </w:r>
      <w:r w:rsidR="00EB765C" w:rsidRPr="2A980E99">
        <w:rPr>
          <w:rFonts w:ascii="Times New Roman" w:hAnsi="Times New Roman" w:cs="Times New Roman"/>
        </w:rPr>
        <w:t xml:space="preserve">zadávacím </w:t>
      </w:r>
      <w:r w:rsidRPr="2A980E99">
        <w:rPr>
          <w:rFonts w:ascii="Times New Roman" w:hAnsi="Times New Roman" w:cs="Times New Roman"/>
        </w:rPr>
        <w:t>řízení</w:t>
      </w:r>
      <w:r w:rsidR="006408D7" w:rsidRPr="2A980E99">
        <w:rPr>
          <w:rFonts w:ascii="Times New Roman" w:hAnsi="Times New Roman" w:cs="Times New Roman"/>
        </w:rPr>
        <w:t xml:space="preserve"> podle § 56 a násl. zákona č. 134/2016</w:t>
      </w:r>
      <w:r w:rsidR="002C1350" w:rsidRPr="2A980E99">
        <w:rPr>
          <w:rFonts w:ascii="Times New Roman" w:hAnsi="Times New Roman" w:cs="Times New Roman"/>
        </w:rPr>
        <w:t xml:space="preserve"> Sb., o z</w:t>
      </w:r>
      <w:r w:rsidR="0078119F" w:rsidRPr="2A980E99">
        <w:rPr>
          <w:rFonts w:ascii="Times New Roman" w:hAnsi="Times New Roman" w:cs="Times New Roman"/>
        </w:rPr>
        <w:t>a</w:t>
      </w:r>
      <w:r w:rsidR="002C1350" w:rsidRPr="2A980E99">
        <w:rPr>
          <w:rFonts w:ascii="Times New Roman" w:hAnsi="Times New Roman" w:cs="Times New Roman"/>
        </w:rPr>
        <w:t>dávání veřejných zakázek, ve</w:t>
      </w:r>
      <w:r w:rsidR="00322F61" w:rsidRPr="2A980E99">
        <w:rPr>
          <w:rFonts w:ascii="Times New Roman" w:hAnsi="Times New Roman" w:cs="Times New Roman"/>
        </w:rPr>
        <w:t> </w:t>
      </w:r>
      <w:r w:rsidR="002C1350" w:rsidRPr="2A980E99">
        <w:rPr>
          <w:rFonts w:ascii="Times New Roman" w:hAnsi="Times New Roman" w:cs="Times New Roman"/>
        </w:rPr>
        <w:t>znění pozdějších předpisů („</w:t>
      </w:r>
      <w:r w:rsidR="002C1350" w:rsidRPr="2A980E99">
        <w:rPr>
          <w:rFonts w:ascii="Times New Roman" w:hAnsi="Times New Roman" w:cs="Times New Roman"/>
          <w:b/>
          <w:bCs/>
        </w:rPr>
        <w:t>ZZVZ</w:t>
      </w:r>
      <w:r w:rsidR="002C1350" w:rsidRPr="2A980E99">
        <w:rPr>
          <w:rFonts w:ascii="Times New Roman" w:hAnsi="Times New Roman" w:cs="Times New Roman"/>
        </w:rPr>
        <w:t>“)</w:t>
      </w:r>
      <w:r w:rsidRPr="2A980E99">
        <w:rPr>
          <w:rFonts w:ascii="Times New Roman" w:hAnsi="Times New Roman" w:cs="Times New Roman"/>
        </w:rPr>
        <w:t xml:space="preserve">, jehož oznámení bylo ve Věstníku veřejných zakázek uveřejněno pod ev. č. </w:t>
      </w:r>
      <w:r w:rsidRPr="2A980E99">
        <w:rPr>
          <w:rFonts w:ascii="Times New Roman" w:hAnsi="Times New Roman" w:cs="Times New Roman"/>
          <w:smallCaps/>
          <w:highlight w:val="yellow"/>
        </w:rPr>
        <w:t>[●]</w:t>
      </w:r>
      <w:r w:rsidR="00F56D56" w:rsidRPr="2A980E99">
        <w:rPr>
          <w:rFonts w:ascii="Times New Roman" w:hAnsi="Times New Roman" w:cs="Times New Roman"/>
          <w:smallCaps/>
        </w:rPr>
        <w:t xml:space="preserve"> </w:t>
      </w:r>
      <w:r w:rsidR="00F56D56" w:rsidRPr="2A980E99">
        <w:rPr>
          <w:rFonts w:ascii="Times New Roman" w:hAnsi="Times New Roman" w:cs="Times New Roman"/>
        </w:rPr>
        <w:t>(„</w:t>
      </w:r>
      <w:r w:rsidR="00F56D56" w:rsidRPr="2A980E99">
        <w:rPr>
          <w:rFonts w:ascii="Times New Roman" w:hAnsi="Times New Roman" w:cs="Times New Roman"/>
          <w:b/>
          <w:bCs/>
        </w:rPr>
        <w:t>Veřejná zakázka</w:t>
      </w:r>
      <w:r w:rsidR="00F56D56" w:rsidRPr="2A980E99">
        <w:rPr>
          <w:rFonts w:ascii="Times New Roman" w:hAnsi="Times New Roman" w:cs="Times New Roman"/>
        </w:rPr>
        <w:t>“)</w:t>
      </w:r>
      <w:r w:rsidR="7F5B989B" w:rsidRPr="2A980E99">
        <w:rPr>
          <w:rFonts w:ascii="Times New Roman" w:eastAsia="Times New Roman" w:hAnsi="Times New Roman" w:cs="Times New Roman"/>
        </w:rPr>
        <w:t>, vedené pod IP 052_2023</w:t>
      </w:r>
      <w:r w:rsidRPr="2A980E99">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1286ADEE"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B11054">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79239808" w:rsidR="004409FF" w:rsidRPr="00E20AB3" w:rsidRDefault="00FB4905" w:rsidP="000422D2">
      <w:pPr>
        <w:pStyle w:val="Clanek11"/>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003D11E8" w:rsidRPr="00670649">
        <w:t>včetně vzdáleného diagnostického systému v režimu SAAS</w:t>
      </w:r>
      <w:r w:rsidR="003D11E8" w:rsidRPr="6CB5F36C">
        <w:rPr>
          <w:rFonts w:cs="Times New Roman"/>
        </w:rPr>
        <w:t xml:space="preserve">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C2FF629"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B11054">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763A7347"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B11054">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9A21BC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delší,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B11054">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40369400"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B11054">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770FAB16"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B11054">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7DE262C0"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B11054">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41F4087"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B11054">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B11054">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2E0B32BD"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B11054">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4F14B561"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B11054">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4183A461"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B11054">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B11054">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B11054">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2985FD90" w:rsidR="00D97E98" w:rsidRPr="00D67776" w:rsidRDefault="00557968" w:rsidP="00AF7B87">
      <w:pPr>
        <w:pStyle w:val="Claneka"/>
        <w:jc w:val="both"/>
        <w:rPr>
          <w:rFonts w:ascii="Times New Roman" w:hAnsi="Times New Roman" w:cs="Times New Roman"/>
        </w:rPr>
      </w:pPr>
      <w:bookmarkStart w:id="23"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začátku dvanáctého (12.) měsíce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2E1E91B1" w14:textId="7057A54D" w:rsidR="00424ED9" w:rsidRPr="00552F98" w:rsidRDefault="007E6956" w:rsidP="007E6956">
      <w:pPr>
        <w:pStyle w:val="Clanek11"/>
        <w:keepNext/>
        <w:keepLines/>
        <w:widowControl/>
        <w:jc w:val="both"/>
        <w:rPr>
          <w:rFonts w:cs="Times New Roman"/>
        </w:rPr>
      </w:pPr>
      <w:r w:rsidRPr="009F0ACB">
        <w:rPr>
          <w:rFonts w:cs="Times New Roman"/>
        </w:rPr>
        <w:t xml:space="preserve">Kupující si tímto v souladu s § 100 odst. 1 ZZVZ vyhrazuje </w:t>
      </w:r>
      <w:r w:rsidR="00B2759B" w:rsidRPr="009F0ACB">
        <w:rPr>
          <w:rFonts w:cs="Times New Roman"/>
        </w:rPr>
        <w:t xml:space="preserve">další </w:t>
      </w:r>
      <w:r w:rsidRPr="009F0ACB">
        <w:rPr>
          <w:rFonts w:cs="Times New Roman"/>
        </w:rPr>
        <w:t>možnou změnu závazku z této Smlouvy</w:t>
      </w:r>
      <w:r w:rsidR="00DB78E5" w:rsidRPr="009F0ACB">
        <w:rPr>
          <w:rFonts w:cs="Times New Roman"/>
        </w:rPr>
        <w:t xml:space="preserve"> spočívající </w:t>
      </w:r>
      <w:r w:rsidR="002E1964" w:rsidRPr="009F0ACB">
        <w:rPr>
          <w:rFonts w:cs="Times New Roman"/>
        </w:rPr>
        <w:t>v</w:t>
      </w:r>
      <w:r w:rsidR="006B150D">
        <w:rPr>
          <w:rFonts w:cs="Times New Roman"/>
        </w:rPr>
        <w:t> </w:t>
      </w:r>
      <w:r w:rsidR="004D04E4">
        <w:rPr>
          <w:rFonts w:cs="Times New Roman"/>
        </w:rPr>
        <w:t>případné</w:t>
      </w:r>
      <w:r w:rsidR="006B150D">
        <w:rPr>
          <w:rFonts w:cs="Times New Roman"/>
        </w:rPr>
        <w:t xml:space="preserve"> nezbytné</w:t>
      </w:r>
      <w:r w:rsidR="002E1964" w:rsidRPr="009F0ACB">
        <w:rPr>
          <w:rFonts w:cs="Times New Roman"/>
        </w:rPr>
        <w:t xml:space="preserve"> změně specifikace Vozů</w:t>
      </w:r>
      <w:r w:rsidR="00BA7FA3" w:rsidRPr="009F0ACB">
        <w:rPr>
          <w:rFonts w:cs="Times New Roman"/>
        </w:rPr>
        <w:t xml:space="preserve">, resp. </w:t>
      </w:r>
      <w:r w:rsidR="00124254" w:rsidRPr="009F0ACB">
        <w:rPr>
          <w:rFonts w:cs="Times New Roman"/>
        </w:rPr>
        <w:t>rozšíření vybavení Vozů o</w:t>
      </w:r>
      <w:r w:rsidR="00124254" w:rsidRPr="009F0ACB">
        <w:rPr>
          <w:rFonts w:cs="Times New Roman"/>
          <w:bCs w:val="0"/>
          <w:iCs w:val="0"/>
        </w:rPr>
        <w:t> </w:t>
      </w:r>
      <w:r w:rsidR="005A0950" w:rsidRPr="009F0ACB">
        <w:rPr>
          <w:rFonts w:cs="Times New Roman"/>
          <w:bCs w:val="0"/>
          <w:iCs w:val="0"/>
        </w:rPr>
        <w:t>vertikální, nebo horizontální vzduchov</w:t>
      </w:r>
      <w:r w:rsidR="00124254" w:rsidRPr="009F0ACB">
        <w:rPr>
          <w:rFonts w:cs="Times New Roman"/>
          <w:bCs w:val="0"/>
          <w:iCs w:val="0"/>
        </w:rPr>
        <w:t>é</w:t>
      </w:r>
      <w:r w:rsidR="005A0950" w:rsidRPr="009F0ACB">
        <w:rPr>
          <w:rFonts w:cs="Times New Roman"/>
          <w:bCs w:val="0"/>
          <w:iCs w:val="0"/>
        </w:rPr>
        <w:t xml:space="preserve"> clon</w:t>
      </w:r>
      <w:r w:rsidR="00C0053E" w:rsidRPr="009F0ACB">
        <w:rPr>
          <w:rFonts w:cs="Times New Roman"/>
          <w:bCs w:val="0"/>
          <w:iCs w:val="0"/>
        </w:rPr>
        <w:t>y</w:t>
      </w:r>
      <w:r w:rsidR="005A0950" w:rsidRPr="009F0ACB">
        <w:rPr>
          <w:rFonts w:cs="Times New Roman"/>
        </w:rPr>
        <w:t xml:space="preserve"> každých dveří</w:t>
      </w:r>
      <w:r w:rsidR="00C0053E" w:rsidRPr="009F0ACB">
        <w:rPr>
          <w:rFonts w:cs="Times New Roman"/>
        </w:rPr>
        <w:t xml:space="preserve"> Vozů</w:t>
      </w:r>
      <w:r w:rsidR="005A0950" w:rsidRPr="009F0ACB">
        <w:rPr>
          <w:rFonts w:cs="Times New Roman"/>
        </w:rPr>
        <w:t xml:space="preserve"> (vzduchová závora), které odděluj</w:t>
      </w:r>
      <w:r w:rsidR="00C0053E" w:rsidRPr="009F0ACB">
        <w:rPr>
          <w:rFonts w:cs="Times New Roman"/>
        </w:rPr>
        <w:t>í</w:t>
      </w:r>
      <w:r w:rsidR="005A0950" w:rsidRPr="009F0ACB">
        <w:rPr>
          <w:rFonts w:cs="Times New Roman"/>
        </w:rPr>
        <w:t xml:space="preserve"> venkovní a vnitřní prostředí s rozdílnou teplotou</w:t>
      </w:r>
      <w:r w:rsidR="007C149F" w:rsidRPr="009F0ACB">
        <w:rPr>
          <w:rFonts w:cs="Times New Roman"/>
        </w:rPr>
        <w:t>, s čímž Prodávající souhlasí;</w:t>
      </w:r>
      <w:r w:rsidR="00667732">
        <w:rPr>
          <w:rFonts w:cs="Times New Roman"/>
        </w:rPr>
        <w:t xml:space="preserve"> bližší </w:t>
      </w:r>
      <w:r w:rsidR="00667732" w:rsidRPr="00552F98">
        <w:rPr>
          <w:rFonts w:cs="Times New Roman"/>
        </w:rPr>
        <w:t xml:space="preserve">specifikace těchto </w:t>
      </w:r>
      <w:r w:rsidR="00214D7C" w:rsidRPr="00552F98">
        <w:rPr>
          <w:rFonts w:cs="Times New Roman"/>
        </w:rPr>
        <w:t>vzduchových clon je uvedena v</w:t>
      </w:r>
      <w:r w:rsidR="00BB6814" w:rsidRPr="00552F98">
        <w:rPr>
          <w:rFonts w:cs="Times New Roman"/>
        </w:rPr>
        <w:t> </w:t>
      </w:r>
      <w:r w:rsidR="00BB6814" w:rsidRPr="00552F98">
        <w:rPr>
          <w:rFonts w:cs="Times New Roman"/>
          <w:b/>
          <w:bCs w:val="0"/>
        </w:rPr>
        <w:t>Příloze č. 9</w:t>
      </w:r>
      <w:r w:rsidR="00BB6814" w:rsidRPr="00552F98">
        <w:rPr>
          <w:rFonts w:cs="Times New Roman"/>
        </w:rPr>
        <w:t xml:space="preserve"> [</w:t>
      </w:r>
      <w:r w:rsidR="00BB6814" w:rsidRPr="00552F98">
        <w:rPr>
          <w:rFonts w:cs="Times New Roman"/>
          <w:i/>
          <w:iCs w:val="0"/>
        </w:rPr>
        <w:t>Specifikace a cena</w:t>
      </w:r>
      <w:r w:rsidR="002F13D9" w:rsidRPr="00552F98">
        <w:rPr>
          <w:rFonts w:cs="Times New Roman"/>
          <w:i/>
          <w:iCs w:val="0"/>
        </w:rPr>
        <w:t xml:space="preserve"> v</w:t>
      </w:r>
      <w:r w:rsidR="004261AF" w:rsidRPr="00552F98">
        <w:rPr>
          <w:rFonts w:cs="Times New Roman"/>
          <w:i/>
          <w:iCs w:val="0"/>
        </w:rPr>
        <w:t>z</w:t>
      </w:r>
      <w:r w:rsidR="002F13D9" w:rsidRPr="00552F98">
        <w:rPr>
          <w:rFonts w:cs="Times New Roman"/>
          <w:i/>
          <w:iCs w:val="0"/>
        </w:rPr>
        <w:t>duchov</w:t>
      </w:r>
      <w:r w:rsidR="004261AF" w:rsidRPr="00552F98">
        <w:rPr>
          <w:rFonts w:cs="Times New Roman"/>
          <w:i/>
          <w:iCs w:val="0"/>
        </w:rPr>
        <w:t>ý</w:t>
      </w:r>
      <w:r w:rsidR="002F13D9" w:rsidRPr="00552F98">
        <w:rPr>
          <w:rFonts w:cs="Times New Roman"/>
          <w:i/>
          <w:iCs w:val="0"/>
        </w:rPr>
        <w:t xml:space="preserve">ch </w:t>
      </w:r>
      <w:r w:rsidR="004261AF" w:rsidRPr="00552F98">
        <w:rPr>
          <w:rFonts w:cs="Times New Roman"/>
          <w:i/>
          <w:iCs w:val="0"/>
        </w:rPr>
        <w:t>c</w:t>
      </w:r>
      <w:r w:rsidR="002F13D9" w:rsidRPr="00552F98">
        <w:rPr>
          <w:rFonts w:cs="Times New Roman"/>
          <w:i/>
          <w:iCs w:val="0"/>
        </w:rPr>
        <w:t>lon</w:t>
      </w:r>
      <w:r w:rsidR="00BB6814" w:rsidRPr="00552F98">
        <w:rPr>
          <w:rFonts w:cs="Times New Roman"/>
        </w:rPr>
        <w:t>]</w:t>
      </w:r>
      <w:r w:rsidR="002F13D9" w:rsidRPr="00552F98">
        <w:rPr>
          <w:rFonts w:cs="Times New Roman"/>
        </w:rPr>
        <w:t xml:space="preserve">, kterou Prodávající předložil v rámci </w:t>
      </w:r>
      <w:r w:rsidR="004261AF" w:rsidRPr="00552F98">
        <w:rPr>
          <w:rFonts w:cs="Times New Roman"/>
        </w:rPr>
        <w:t>své nabídky v zadávacím řízení na realizaci Veřejné zakázky.</w:t>
      </w:r>
      <w:r w:rsidR="007C149F" w:rsidRPr="00552F98">
        <w:rPr>
          <w:rFonts w:cs="Times New Roman"/>
        </w:rPr>
        <w:t xml:space="preserve"> Kupující je oprávněn toto své právo uplatnit </w:t>
      </w:r>
      <w:r w:rsidR="00424ED9" w:rsidRPr="00552F98">
        <w:rPr>
          <w:rFonts w:cs="Times New Roman"/>
        </w:rPr>
        <w:t>z</w:t>
      </w:r>
      <w:r w:rsidR="007C149F" w:rsidRPr="00552F98">
        <w:rPr>
          <w:rFonts w:cs="Times New Roman"/>
        </w:rPr>
        <w:t>a následujících podmínek</w:t>
      </w:r>
      <w:r w:rsidR="00424ED9" w:rsidRPr="00552F98">
        <w:rPr>
          <w:rFonts w:cs="Times New Roman"/>
        </w:rPr>
        <w:t>:</w:t>
      </w:r>
    </w:p>
    <w:p w14:paraId="0078FFBA" w14:textId="39D301A6" w:rsidR="009F0ACB" w:rsidRPr="00552F98" w:rsidRDefault="00541130" w:rsidP="00541130">
      <w:pPr>
        <w:pStyle w:val="Claneka"/>
        <w:jc w:val="both"/>
        <w:rPr>
          <w:rFonts w:ascii="Times New Roman" w:hAnsi="Times New Roman" w:cs="Times New Roman"/>
        </w:rPr>
      </w:pPr>
      <w:bookmarkStart w:id="24" w:name="_Ref126077616"/>
      <w:r w:rsidRPr="00552F98">
        <w:rPr>
          <w:rFonts w:ascii="Times New Roman" w:hAnsi="Times New Roman" w:cs="Times New Roman"/>
        </w:rPr>
        <w:t xml:space="preserve">Kupující je oprávněn kdykoliv </w:t>
      </w:r>
      <w:r w:rsidR="00FE36B9" w:rsidRPr="00552F98">
        <w:rPr>
          <w:rFonts w:ascii="Times New Roman" w:hAnsi="Times New Roman" w:cs="Times New Roman"/>
        </w:rPr>
        <w:t xml:space="preserve">ve lhůtě dle článku </w:t>
      </w:r>
      <w:r w:rsidR="00FE36B9" w:rsidRPr="00552F98">
        <w:rPr>
          <w:rFonts w:ascii="Times New Roman" w:hAnsi="Times New Roman" w:cs="Times New Roman"/>
        </w:rPr>
        <w:fldChar w:fldCharType="begin"/>
      </w:r>
      <w:r w:rsidR="00FE36B9" w:rsidRPr="00552F98">
        <w:rPr>
          <w:rFonts w:ascii="Times New Roman" w:hAnsi="Times New Roman" w:cs="Times New Roman"/>
        </w:rPr>
        <w:instrText xml:space="preserve"> REF _Ref126076896 \w \h </w:instrText>
      </w:r>
      <w:r w:rsidR="009F0ACB" w:rsidRPr="00552F98">
        <w:rPr>
          <w:rFonts w:ascii="Times New Roman" w:hAnsi="Times New Roman" w:cs="Times New Roman"/>
        </w:rPr>
        <w:instrText xml:space="preserve"> \* MERGEFORMAT </w:instrText>
      </w:r>
      <w:r w:rsidR="00FE36B9" w:rsidRPr="00552F98">
        <w:rPr>
          <w:rFonts w:ascii="Times New Roman" w:hAnsi="Times New Roman" w:cs="Times New Roman"/>
        </w:rPr>
      </w:r>
      <w:r w:rsidR="00FE36B9" w:rsidRPr="00552F98">
        <w:rPr>
          <w:rFonts w:ascii="Times New Roman" w:hAnsi="Times New Roman" w:cs="Times New Roman"/>
        </w:rPr>
        <w:fldChar w:fldCharType="separate"/>
      </w:r>
      <w:r w:rsidR="00B11054">
        <w:rPr>
          <w:rFonts w:ascii="Times New Roman" w:hAnsi="Times New Roman" w:cs="Times New Roman"/>
        </w:rPr>
        <w:t>4.3(a)</w:t>
      </w:r>
      <w:r w:rsidR="00FE36B9" w:rsidRPr="00552F98">
        <w:rPr>
          <w:rFonts w:ascii="Times New Roman" w:hAnsi="Times New Roman" w:cs="Times New Roman"/>
        </w:rPr>
        <w:fldChar w:fldCharType="end"/>
      </w:r>
      <w:r w:rsidR="00FE36B9" w:rsidRPr="00552F98">
        <w:rPr>
          <w:rFonts w:ascii="Times New Roman" w:hAnsi="Times New Roman" w:cs="Times New Roman"/>
        </w:rPr>
        <w:t xml:space="preserve"> této Smlouvy</w:t>
      </w:r>
      <w:r w:rsidR="00D84753" w:rsidRPr="00552F98">
        <w:rPr>
          <w:rFonts w:ascii="Times New Roman" w:hAnsi="Times New Roman" w:cs="Times New Roman"/>
        </w:rPr>
        <w:t xml:space="preserve"> zaslat Prodávajícímu</w:t>
      </w:r>
      <w:r w:rsidR="00075F8C" w:rsidRPr="00552F98">
        <w:rPr>
          <w:rFonts w:ascii="Times New Roman" w:hAnsi="Times New Roman" w:cs="Times New Roman"/>
        </w:rPr>
        <w:t xml:space="preserve"> písemnou </w:t>
      </w:r>
      <w:r w:rsidR="00310DD9" w:rsidRPr="00552F98">
        <w:rPr>
          <w:rFonts w:ascii="Times New Roman" w:hAnsi="Times New Roman" w:cs="Times New Roman"/>
        </w:rPr>
        <w:t>objednávku anebo vícero objednávek, jejímž předmětem bude koupě a</w:t>
      </w:r>
      <w:r w:rsidR="009B5572" w:rsidRPr="00552F98">
        <w:rPr>
          <w:rFonts w:ascii="Times New Roman" w:hAnsi="Times New Roman" w:cs="Times New Roman"/>
        </w:rPr>
        <w:t> </w:t>
      </w:r>
      <w:r w:rsidR="0025304D" w:rsidRPr="00552F98">
        <w:rPr>
          <w:rFonts w:ascii="Times New Roman" w:hAnsi="Times New Roman" w:cs="Times New Roman"/>
        </w:rPr>
        <w:t>instal</w:t>
      </w:r>
      <w:r w:rsidR="009B5572" w:rsidRPr="00552F98">
        <w:rPr>
          <w:rFonts w:ascii="Times New Roman" w:hAnsi="Times New Roman" w:cs="Times New Roman"/>
        </w:rPr>
        <w:t>ace vzduchových clon</w:t>
      </w:r>
      <w:r w:rsidR="00320AB9" w:rsidRPr="00552F98">
        <w:rPr>
          <w:rFonts w:ascii="Times New Roman" w:hAnsi="Times New Roman" w:cs="Times New Roman"/>
        </w:rPr>
        <w:t xml:space="preserve"> </w:t>
      </w:r>
      <w:r w:rsidR="00AB1D8F" w:rsidRPr="00552F98">
        <w:rPr>
          <w:rFonts w:ascii="Times New Roman" w:hAnsi="Times New Roman" w:cs="Times New Roman"/>
        </w:rPr>
        <w:t xml:space="preserve">všech </w:t>
      </w:r>
      <w:r w:rsidR="00320AB9" w:rsidRPr="00552F98">
        <w:rPr>
          <w:rFonts w:ascii="Times New Roman" w:hAnsi="Times New Roman" w:cs="Times New Roman"/>
        </w:rPr>
        <w:t>dveří Voz</w:t>
      </w:r>
      <w:r w:rsidR="00AB1D8F" w:rsidRPr="00552F98">
        <w:rPr>
          <w:rFonts w:ascii="Times New Roman" w:hAnsi="Times New Roman" w:cs="Times New Roman"/>
        </w:rPr>
        <w:t>u, a to u libovolného počtu Voz</w:t>
      </w:r>
      <w:r w:rsidR="00513359" w:rsidRPr="00552F98">
        <w:rPr>
          <w:rFonts w:ascii="Times New Roman" w:hAnsi="Times New Roman" w:cs="Times New Roman"/>
        </w:rPr>
        <w:t xml:space="preserve">ů dle této Smlouvy </w:t>
      </w:r>
      <w:r w:rsidR="00705B2D" w:rsidRPr="00552F98">
        <w:rPr>
          <w:rFonts w:ascii="Times New Roman" w:hAnsi="Times New Roman" w:cs="Times New Roman"/>
        </w:rPr>
        <w:t>[</w:t>
      </w:r>
      <w:r w:rsidR="00513359" w:rsidRPr="00552F98">
        <w:rPr>
          <w:rFonts w:ascii="Times New Roman" w:hAnsi="Times New Roman" w:cs="Times New Roman"/>
        </w:rPr>
        <w:t>tzn. minimálně u jedn</w:t>
      </w:r>
      <w:r w:rsidR="00474E32" w:rsidRPr="00552F98">
        <w:rPr>
          <w:rFonts w:ascii="Times New Roman" w:hAnsi="Times New Roman" w:cs="Times New Roman"/>
        </w:rPr>
        <w:t xml:space="preserve">oho (1) a maximálně u dvaceti pěti (25) Vozů, pokud Kupující </w:t>
      </w:r>
      <w:r w:rsidR="00705B2D" w:rsidRPr="00552F98">
        <w:rPr>
          <w:rFonts w:ascii="Times New Roman" w:hAnsi="Times New Roman" w:cs="Times New Roman"/>
        </w:rPr>
        <w:t xml:space="preserve">uplatní své právo dle článku </w:t>
      </w:r>
      <w:r w:rsidR="00705B2D" w:rsidRPr="00552F98">
        <w:rPr>
          <w:rFonts w:ascii="Times New Roman" w:hAnsi="Times New Roman" w:cs="Times New Roman"/>
        </w:rPr>
        <w:fldChar w:fldCharType="begin"/>
      </w:r>
      <w:r w:rsidR="00705B2D" w:rsidRPr="00552F98">
        <w:rPr>
          <w:rFonts w:ascii="Times New Roman" w:hAnsi="Times New Roman" w:cs="Times New Roman"/>
        </w:rPr>
        <w:instrText xml:space="preserve"> REF _Ref114522892 \w \h </w:instrText>
      </w:r>
      <w:r w:rsidR="009F0ACB" w:rsidRPr="00552F98">
        <w:rPr>
          <w:rFonts w:ascii="Times New Roman" w:hAnsi="Times New Roman" w:cs="Times New Roman"/>
        </w:rPr>
        <w:instrText xml:space="preserve"> \* MERGEFORMAT </w:instrText>
      </w:r>
      <w:r w:rsidR="00705B2D" w:rsidRPr="00552F98">
        <w:rPr>
          <w:rFonts w:ascii="Times New Roman" w:hAnsi="Times New Roman" w:cs="Times New Roman"/>
        </w:rPr>
      </w:r>
      <w:r w:rsidR="00705B2D" w:rsidRPr="00552F98">
        <w:rPr>
          <w:rFonts w:ascii="Times New Roman" w:hAnsi="Times New Roman" w:cs="Times New Roman"/>
        </w:rPr>
        <w:fldChar w:fldCharType="separate"/>
      </w:r>
      <w:r w:rsidR="00B11054">
        <w:rPr>
          <w:rFonts w:ascii="Times New Roman" w:hAnsi="Times New Roman" w:cs="Times New Roman"/>
        </w:rPr>
        <w:t>4.3</w:t>
      </w:r>
      <w:r w:rsidR="00705B2D" w:rsidRPr="00552F98">
        <w:rPr>
          <w:rFonts w:ascii="Times New Roman" w:hAnsi="Times New Roman" w:cs="Times New Roman"/>
        </w:rPr>
        <w:fldChar w:fldCharType="end"/>
      </w:r>
      <w:r w:rsidR="00705B2D" w:rsidRPr="00552F98">
        <w:rPr>
          <w:rFonts w:ascii="Times New Roman" w:hAnsi="Times New Roman" w:cs="Times New Roman"/>
        </w:rPr>
        <w:t xml:space="preserve"> této Smlouvy]</w:t>
      </w:r>
      <w:r w:rsidR="00244926" w:rsidRPr="00552F98">
        <w:rPr>
          <w:rFonts w:ascii="Times New Roman" w:hAnsi="Times New Roman" w:cs="Times New Roman"/>
        </w:rPr>
        <w:t xml:space="preserve">; nedoručí-li Kupující Prodávajícímu jakoukoliv související objednávku v této lhůtě anebo nevyužije-li Kupující toto své právo v plném rozsahu do uplynutí uvedené lhůty, právo Kupujícího na (další) změnu závazku </w:t>
      </w:r>
      <w:r w:rsidR="009F0ACB" w:rsidRPr="00552F98">
        <w:rPr>
          <w:rFonts w:ascii="Times New Roman" w:hAnsi="Times New Roman" w:cs="Times New Roman"/>
        </w:rPr>
        <w:t xml:space="preserve">z této smlouvy </w:t>
      </w:r>
      <w:r w:rsidR="00244926" w:rsidRPr="00552F98">
        <w:rPr>
          <w:rFonts w:ascii="Times New Roman" w:hAnsi="Times New Roman" w:cs="Times New Roman"/>
        </w:rPr>
        <w:t xml:space="preserve">dle tohoto článku </w:t>
      </w:r>
      <w:r w:rsidR="00244926" w:rsidRPr="00552F98">
        <w:rPr>
          <w:rFonts w:ascii="Times New Roman" w:hAnsi="Times New Roman" w:cs="Times New Roman"/>
        </w:rPr>
        <w:fldChar w:fldCharType="begin"/>
      </w:r>
      <w:r w:rsidR="00244926" w:rsidRPr="00552F98">
        <w:rPr>
          <w:rFonts w:ascii="Times New Roman" w:hAnsi="Times New Roman" w:cs="Times New Roman"/>
        </w:rPr>
        <w:instrText xml:space="preserve"> REF _Ref126077616 \w \h </w:instrText>
      </w:r>
      <w:r w:rsidR="009F0ACB" w:rsidRPr="00552F98">
        <w:rPr>
          <w:rFonts w:ascii="Times New Roman" w:hAnsi="Times New Roman" w:cs="Times New Roman"/>
        </w:rPr>
        <w:instrText xml:space="preserve"> \* MERGEFORMAT </w:instrText>
      </w:r>
      <w:r w:rsidR="00244926" w:rsidRPr="00552F98">
        <w:rPr>
          <w:rFonts w:ascii="Times New Roman" w:hAnsi="Times New Roman" w:cs="Times New Roman"/>
        </w:rPr>
      </w:r>
      <w:r w:rsidR="00244926" w:rsidRPr="00552F98">
        <w:rPr>
          <w:rFonts w:ascii="Times New Roman" w:hAnsi="Times New Roman" w:cs="Times New Roman"/>
        </w:rPr>
        <w:fldChar w:fldCharType="separate"/>
      </w:r>
      <w:r w:rsidR="00B11054">
        <w:rPr>
          <w:rFonts w:ascii="Times New Roman" w:hAnsi="Times New Roman" w:cs="Times New Roman"/>
        </w:rPr>
        <w:t>4.4(a)</w:t>
      </w:r>
      <w:r w:rsidR="00244926" w:rsidRPr="00552F98">
        <w:rPr>
          <w:rFonts w:ascii="Times New Roman" w:hAnsi="Times New Roman" w:cs="Times New Roman"/>
        </w:rPr>
        <w:fldChar w:fldCharType="end"/>
      </w:r>
      <w:r w:rsidR="009F0ACB" w:rsidRPr="00552F98">
        <w:rPr>
          <w:rFonts w:ascii="Times New Roman" w:hAnsi="Times New Roman" w:cs="Times New Roman"/>
        </w:rPr>
        <w:t xml:space="preserve"> této Smlouvy</w:t>
      </w:r>
      <w:r w:rsidR="00244926" w:rsidRPr="00552F98">
        <w:rPr>
          <w:rFonts w:ascii="Times New Roman" w:hAnsi="Times New Roman" w:cs="Times New Roman"/>
        </w:rPr>
        <w:t xml:space="preserve"> zaniká</w:t>
      </w:r>
      <w:bookmarkEnd w:id="24"/>
      <w:r w:rsidR="009F0ACB" w:rsidRPr="00552F98">
        <w:rPr>
          <w:rFonts w:ascii="Times New Roman" w:hAnsi="Times New Roman" w:cs="Times New Roman"/>
        </w:rPr>
        <w:t>;</w:t>
      </w:r>
    </w:p>
    <w:p w14:paraId="4535AB0B" w14:textId="03C4CB80" w:rsidR="009F0ACB" w:rsidRPr="00552F98" w:rsidRDefault="009F0ACB" w:rsidP="009F0ACB">
      <w:pPr>
        <w:pStyle w:val="Claneka"/>
        <w:jc w:val="both"/>
        <w:rPr>
          <w:rFonts w:ascii="Times New Roman" w:hAnsi="Times New Roman" w:cs="Times New Roman"/>
        </w:rPr>
      </w:pPr>
      <w:r w:rsidRPr="00552F98">
        <w:rPr>
          <w:rFonts w:ascii="Times New Roman" w:hAnsi="Times New Roman" w:cs="Times New Roman"/>
        </w:rPr>
        <w:t>doručením objednávky dle předcházejícího bodu Prodávajícímu dochází k rozšíření předmětu této Smlouvy</w:t>
      </w:r>
      <w:r w:rsidR="001E206E" w:rsidRPr="00552F98">
        <w:rPr>
          <w:rFonts w:ascii="Times New Roman" w:hAnsi="Times New Roman" w:cs="Times New Roman"/>
        </w:rPr>
        <w:t>, respektive</w:t>
      </w:r>
      <w:r w:rsidR="00FE4629" w:rsidRPr="00552F98">
        <w:rPr>
          <w:rFonts w:ascii="Times New Roman" w:hAnsi="Times New Roman" w:cs="Times New Roman"/>
        </w:rPr>
        <w:t xml:space="preserve"> specifikace Vozů</w:t>
      </w:r>
      <w:r w:rsidR="00A71D87" w:rsidRPr="00552F98">
        <w:rPr>
          <w:rFonts w:ascii="Times New Roman" w:hAnsi="Times New Roman" w:cs="Times New Roman"/>
        </w:rPr>
        <w:t xml:space="preserve"> </w:t>
      </w:r>
      <w:r w:rsidRPr="00552F98">
        <w:rPr>
          <w:rFonts w:ascii="Times New Roman" w:hAnsi="Times New Roman" w:cs="Times New Roman"/>
        </w:rPr>
        <w:t xml:space="preserve">o </w:t>
      </w:r>
      <w:r w:rsidR="00A71D87" w:rsidRPr="00552F98">
        <w:rPr>
          <w:rFonts w:ascii="Times New Roman" w:hAnsi="Times New Roman" w:cs="Times New Roman"/>
        </w:rPr>
        <w:t xml:space="preserve">Kupujícím </w:t>
      </w:r>
      <w:r w:rsidR="00B46707" w:rsidRPr="00552F98">
        <w:rPr>
          <w:rFonts w:ascii="Times New Roman" w:hAnsi="Times New Roman" w:cs="Times New Roman"/>
        </w:rPr>
        <w:t xml:space="preserve">v objednávce </w:t>
      </w:r>
      <w:r w:rsidR="00A71D87" w:rsidRPr="00552F98">
        <w:rPr>
          <w:rFonts w:ascii="Times New Roman" w:hAnsi="Times New Roman" w:cs="Times New Roman"/>
        </w:rPr>
        <w:t xml:space="preserve">požadovaný </w:t>
      </w:r>
      <w:r w:rsidRPr="00552F98">
        <w:rPr>
          <w:rFonts w:ascii="Times New Roman" w:hAnsi="Times New Roman" w:cs="Times New Roman"/>
        </w:rPr>
        <w:t>počet</w:t>
      </w:r>
      <w:r w:rsidR="001E206E" w:rsidRPr="00552F98">
        <w:rPr>
          <w:rFonts w:ascii="Times New Roman" w:hAnsi="Times New Roman" w:cs="Times New Roman"/>
        </w:rPr>
        <w:t xml:space="preserve"> </w:t>
      </w:r>
      <w:r w:rsidR="00667732" w:rsidRPr="00552F98">
        <w:rPr>
          <w:rFonts w:ascii="Times New Roman" w:hAnsi="Times New Roman" w:cs="Times New Roman"/>
        </w:rPr>
        <w:t>vzduchových clon</w:t>
      </w:r>
      <w:r w:rsidRPr="00552F98">
        <w:rPr>
          <w:rFonts w:ascii="Times New Roman" w:hAnsi="Times New Roman" w:cs="Times New Roman"/>
        </w:rPr>
        <w:t xml:space="preserve"> </w:t>
      </w:r>
      <w:r w:rsidR="00A71D87" w:rsidRPr="00552F98">
        <w:rPr>
          <w:rFonts w:ascii="Times New Roman" w:hAnsi="Times New Roman" w:cs="Times New Roman"/>
        </w:rPr>
        <w:t>a jejich instalaci</w:t>
      </w:r>
      <w:r w:rsidRPr="00552F98">
        <w:rPr>
          <w:rFonts w:ascii="Times New Roman" w:hAnsi="Times New Roman" w:cs="Times New Roman"/>
        </w:rPr>
        <w:t xml:space="preserve">, bez </w:t>
      </w:r>
      <w:r w:rsidRPr="00552F98">
        <w:rPr>
          <w:rFonts w:ascii="Times New Roman" w:hAnsi="Times New Roman" w:cs="Times New Roman"/>
          <w:lang w:eastAsia="ar-SA"/>
        </w:rPr>
        <w:t>nutnosti</w:t>
      </w:r>
      <w:r w:rsidRPr="00552F98">
        <w:rPr>
          <w:rFonts w:ascii="Times New Roman" w:hAnsi="Times New Roman" w:cs="Times New Roman"/>
        </w:rPr>
        <w:t xml:space="preserve"> jakéhokoliv dodatečného schválení objednávky ze strany Prodávajícího; Prodávající není oprávněn tuto objednávku platně odmítnout;</w:t>
      </w:r>
    </w:p>
    <w:p w14:paraId="2FBF9058" w14:textId="7C141768" w:rsidR="005F5ACC" w:rsidRPr="00552F98" w:rsidRDefault="00CD4F7D" w:rsidP="009F0ACB">
      <w:pPr>
        <w:pStyle w:val="Claneka"/>
        <w:jc w:val="both"/>
        <w:rPr>
          <w:rFonts w:ascii="Times New Roman" w:hAnsi="Times New Roman" w:cs="Times New Roman"/>
        </w:rPr>
      </w:pPr>
      <w:r w:rsidRPr="00552F98">
        <w:rPr>
          <w:rFonts w:ascii="Times New Roman" w:hAnsi="Times New Roman" w:cs="Times New Roman"/>
        </w:rPr>
        <w:lastRenderedPageBreak/>
        <w:t xml:space="preserve">na dodávku a instalaci vzduchových clon se </w:t>
      </w:r>
      <w:r w:rsidR="00934E21" w:rsidRPr="00552F98">
        <w:rPr>
          <w:rFonts w:ascii="Times New Roman" w:hAnsi="Times New Roman" w:cs="Times New Roman"/>
        </w:rPr>
        <w:t xml:space="preserve">v plném rozsahu uplatní podmínky této Smlouvy, přičemž cena </w:t>
      </w:r>
      <w:r w:rsidR="00A32BCC" w:rsidRPr="00552F98">
        <w:rPr>
          <w:rFonts w:ascii="Times New Roman" w:hAnsi="Times New Roman" w:cs="Times New Roman"/>
        </w:rPr>
        <w:t xml:space="preserve">vzduchových clon ve výši dle </w:t>
      </w:r>
      <w:r w:rsidR="00A32BCC" w:rsidRPr="00552F98">
        <w:rPr>
          <w:rFonts w:ascii="Times New Roman" w:hAnsi="Times New Roman" w:cs="Times New Roman"/>
          <w:b/>
          <w:bCs/>
        </w:rPr>
        <w:t>Přílohy č. 9</w:t>
      </w:r>
      <w:r w:rsidR="00A32BCC" w:rsidRPr="00552F98">
        <w:rPr>
          <w:rFonts w:ascii="Times New Roman" w:hAnsi="Times New Roman" w:cs="Times New Roman"/>
        </w:rPr>
        <w:t xml:space="preserve"> [</w:t>
      </w:r>
      <w:r w:rsidR="00A32BCC" w:rsidRPr="00552F98">
        <w:rPr>
          <w:rFonts w:ascii="Times New Roman" w:hAnsi="Times New Roman" w:cs="Times New Roman"/>
          <w:i/>
          <w:iCs/>
        </w:rPr>
        <w:t>Specifikace a cena vzduchových clon</w:t>
      </w:r>
      <w:r w:rsidR="00A32BCC" w:rsidRPr="00552F98">
        <w:rPr>
          <w:rFonts w:ascii="Times New Roman" w:hAnsi="Times New Roman" w:cs="Times New Roman"/>
        </w:rPr>
        <w:t>] bude Kupujícím hrazena společně s cenou příslušného V</w:t>
      </w:r>
      <w:r w:rsidR="00EC7832" w:rsidRPr="00552F98">
        <w:rPr>
          <w:rFonts w:ascii="Times New Roman" w:hAnsi="Times New Roman" w:cs="Times New Roman"/>
        </w:rPr>
        <w:t>ozu v rámci jedné souhrnné Faktury</w:t>
      </w:r>
      <w:r w:rsidR="003D45D2">
        <w:rPr>
          <w:rFonts w:ascii="Times New Roman" w:hAnsi="Times New Roman" w:cs="Times New Roman"/>
        </w:rPr>
        <w:t xml:space="preserve"> (jak je tento pojem definován dále v této Smlouvě)</w:t>
      </w:r>
      <w:r w:rsidR="00EC7832" w:rsidRPr="00552F98">
        <w:rPr>
          <w:rFonts w:ascii="Times New Roman" w:hAnsi="Times New Roman" w:cs="Times New Roman"/>
        </w:rPr>
        <w:t xml:space="preserve"> a </w:t>
      </w:r>
      <w:r w:rsidR="00DF0B8A" w:rsidRPr="00552F98">
        <w:rPr>
          <w:rFonts w:ascii="Times New Roman" w:hAnsi="Times New Roman" w:cs="Times New Roman"/>
        </w:rPr>
        <w:t xml:space="preserve">řádná </w:t>
      </w:r>
      <w:r w:rsidR="00EC7832" w:rsidRPr="00552F98">
        <w:rPr>
          <w:rFonts w:ascii="Times New Roman" w:hAnsi="Times New Roman" w:cs="Times New Roman"/>
        </w:rPr>
        <w:t xml:space="preserve">instalace </w:t>
      </w:r>
      <w:r w:rsidR="00DF0B8A" w:rsidRPr="00552F98">
        <w:rPr>
          <w:rFonts w:ascii="Times New Roman" w:hAnsi="Times New Roman" w:cs="Times New Roman"/>
        </w:rPr>
        <w:t xml:space="preserve">vzduchových clon bude nezbytným předpokladem pro </w:t>
      </w:r>
      <w:r w:rsidR="00ED1BB4" w:rsidRPr="00552F98">
        <w:rPr>
          <w:rFonts w:ascii="Times New Roman" w:hAnsi="Times New Roman" w:cs="Times New Roman"/>
        </w:rPr>
        <w:t>úspěšnou realizaci Technické přejímky</w:t>
      </w:r>
      <w:r w:rsidR="00552F98" w:rsidRPr="00552F98">
        <w:rPr>
          <w:rFonts w:ascii="Times New Roman" w:hAnsi="Times New Roman" w:cs="Times New Roman"/>
        </w:rPr>
        <w:t xml:space="preserve"> (jak je tento pojem definován dále v této Smlouvě)</w:t>
      </w:r>
      <w:r w:rsidR="00ED1BB4" w:rsidRPr="00552F98">
        <w:rPr>
          <w:rFonts w:ascii="Times New Roman" w:hAnsi="Times New Roman" w:cs="Times New Roman"/>
        </w:rPr>
        <w:t xml:space="preserve"> a </w:t>
      </w:r>
      <w:r w:rsidR="00552F98" w:rsidRPr="00552F98">
        <w:rPr>
          <w:rFonts w:ascii="Times New Roman" w:hAnsi="Times New Roman" w:cs="Times New Roman"/>
        </w:rPr>
        <w:t>převzetí daného Vozu na základě Dodacího listu (jak je tento pojem definován dále v této Smlouvě)</w:t>
      </w:r>
      <w:r w:rsidR="004A70C5">
        <w:rPr>
          <w:rFonts w:ascii="Times New Roman" w:hAnsi="Times New Roman" w:cs="Times New Roman"/>
        </w:rPr>
        <w:t>; není-li v </w:t>
      </w:r>
      <w:r w:rsidR="004A70C5" w:rsidRPr="004A70C5">
        <w:rPr>
          <w:rFonts w:ascii="Times New Roman" w:hAnsi="Times New Roman" w:cs="Times New Roman"/>
          <w:b/>
          <w:bCs/>
        </w:rPr>
        <w:t>Příloze č. 9</w:t>
      </w:r>
      <w:r w:rsidR="004A70C5">
        <w:rPr>
          <w:rFonts w:ascii="Times New Roman" w:hAnsi="Times New Roman" w:cs="Times New Roman"/>
        </w:rPr>
        <w:t xml:space="preserve"> </w:t>
      </w:r>
      <w:r w:rsidR="004A70C5" w:rsidRPr="004A70C5">
        <w:rPr>
          <w:rFonts w:ascii="Times New Roman" w:hAnsi="Times New Roman" w:cs="Times New Roman"/>
        </w:rPr>
        <w:t>[</w:t>
      </w:r>
      <w:r w:rsidR="004A70C5" w:rsidRPr="004A70C5">
        <w:rPr>
          <w:rFonts w:ascii="Times New Roman" w:hAnsi="Times New Roman" w:cs="Times New Roman"/>
          <w:i/>
          <w:iCs/>
        </w:rPr>
        <w:t>Specifikace a cena vzduchových clon</w:t>
      </w:r>
      <w:r w:rsidR="004A70C5" w:rsidRPr="004A70C5">
        <w:rPr>
          <w:rFonts w:ascii="Times New Roman" w:hAnsi="Times New Roman" w:cs="Times New Roman"/>
        </w:rPr>
        <w:t>]</w:t>
      </w:r>
      <w:r w:rsidR="0087729E">
        <w:rPr>
          <w:rFonts w:ascii="Times New Roman" w:hAnsi="Times New Roman" w:cs="Times New Roman"/>
        </w:rPr>
        <w:t xml:space="preserve"> anebo v související objednávce stanovena jinak, na vzduchové clony je poskytována záruka ve smyslu článku </w:t>
      </w:r>
      <w:r w:rsidR="0087729E">
        <w:rPr>
          <w:rFonts w:ascii="Times New Roman" w:hAnsi="Times New Roman" w:cs="Times New Roman"/>
        </w:rPr>
        <w:fldChar w:fldCharType="begin"/>
      </w:r>
      <w:r w:rsidR="0087729E">
        <w:rPr>
          <w:rFonts w:ascii="Times New Roman" w:hAnsi="Times New Roman" w:cs="Times New Roman"/>
        </w:rPr>
        <w:instrText xml:space="preserve"> REF _Ref114663048 \w \h </w:instrText>
      </w:r>
      <w:r w:rsidR="0087729E">
        <w:rPr>
          <w:rFonts w:ascii="Times New Roman" w:hAnsi="Times New Roman" w:cs="Times New Roman"/>
        </w:rPr>
      </w:r>
      <w:r w:rsidR="0087729E">
        <w:rPr>
          <w:rFonts w:ascii="Times New Roman" w:hAnsi="Times New Roman" w:cs="Times New Roman"/>
        </w:rPr>
        <w:fldChar w:fldCharType="separate"/>
      </w:r>
      <w:r w:rsidR="00B11054">
        <w:rPr>
          <w:rFonts w:ascii="Times New Roman" w:hAnsi="Times New Roman" w:cs="Times New Roman"/>
        </w:rPr>
        <w:t>8.1(a)</w:t>
      </w:r>
      <w:r w:rsidR="0087729E">
        <w:rPr>
          <w:rFonts w:ascii="Times New Roman" w:hAnsi="Times New Roman" w:cs="Times New Roman"/>
        </w:rPr>
        <w:fldChar w:fldCharType="end"/>
      </w:r>
      <w:r w:rsidR="0087729E">
        <w:rPr>
          <w:rFonts w:ascii="Times New Roman" w:hAnsi="Times New Roman" w:cs="Times New Roman"/>
        </w:rPr>
        <w:t xml:space="preserve"> této Smlouvy</w:t>
      </w:r>
      <w:r w:rsidR="00552F98" w:rsidRPr="00552F98">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5"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5"/>
    </w:p>
    <w:p w14:paraId="3E5763D1" w14:textId="1C5CC655"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B11054">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3728B8CB"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B11054">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 xml:space="preserve">specifikaci této Smlouvy, (iii) specifikaci Vozu, (iv) specifikaci dokumentace k příslušným </w:t>
      </w:r>
      <w:r w:rsidRPr="00D67776">
        <w:rPr>
          <w:rFonts w:cs="Times New Roman"/>
        </w:rPr>
        <w:lastRenderedPageBreak/>
        <w:t>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6"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6"/>
    </w:p>
    <w:p w14:paraId="49A594C8" w14:textId="0954DE6C"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B11054">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D330ED9" w:rsidR="000749AC" w:rsidRDefault="000749AC" w:rsidP="00AF7B87">
      <w:pPr>
        <w:pStyle w:val="Claneka"/>
        <w:jc w:val="both"/>
        <w:rPr>
          <w:rFonts w:ascii="Times New Roman" w:hAnsi="Times New Roman" w:cs="Times New Roman"/>
        </w:rPr>
      </w:pPr>
      <w:bookmarkStart w:id="27"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B11054">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7"/>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068621B9" w:rsidR="00B50B49" w:rsidRPr="00D67776" w:rsidRDefault="005B0EA1" w:rsidP="00AF7B87">
      <w:pPr>
        <w:pStyle w:val="Clanek11"/>
        <w:jc w:val="both"/>
        <w:rPr>
          <w:rFonts w:cs="Times New Roman"/>
        </w:rPr>
      </w:pPr>
      <w:bookmarkStart w:id="28" w:name="_Ref114570799"/>
      <w:bookmarkStart w:id="29"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B11054">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8"/>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9"/>
    </w:p>
    <w:p w14:paraId="42361A26" w14:textId="3B496A3E" w:rsidR="00155723" w:rsidRPr="00D67776" w:rsidRDefault="00155723" w:rsidP="00625A5E">
      <w:pPr>
        <w:pStyle w:val="Clanek11"/>
        <w:widowControl/>
        <w:jc w:val="both"/>
        <w:rPr>
          <w:rFonts w:cs="Times New Roman"/>
        </w:rPr>
      </w:pPr>
      <w:bookmarkStart w:id="30"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B11054">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30"/>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EFA0B44"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B11054">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05EB4B92"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B11054">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B11054">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B11054">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1"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1"/>
    </w:p>
    <w:p w14:paraId="636458D3" w14:textId="77777777" w:rsidR="004758C7" w:rsidRPr="00D67776" w:rsidRDefault="005B296D" w:rsidP="00AF7B87">
      <w:pPr>
        <w:pStyle w:val="Clanek11"/>
        <w:jc w:val="both"/>
        <w:rPr>
          <w:rFonts w:cs="Times New Roman"/>
        </w:rPr>
      </w:pPr>
      <w:bookmarkStart w:id="32"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2"/>
      <w:r w:rsidR="004533EB" w:rsidRPr="00D67776">
        <w:rPr>
          <w:rFonts w:cs="Times New Roman"/>
        </w:rPr>
        <w:t>.</w:t>
      </w:r>
    </w:p>
    <w:p w14:paraId="1BB07849" w14:textId="6B68EDBE"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B11054">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3" w:name="_Ref536111156"/>
      <w:r w:rsidRPr="00D67776">
        <w:rPr>
          <w:rFonts w:cs="Times New Roman"/>
        </w:rPr>
        <w:t>Dojde-li Kupující k závěru, že</w:t>
      </w:r>
      <w:bookmarkEnd w:id="33"/>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4"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4"/>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C783ADC"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B11054">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5"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5"/>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lastRenderedPageBreak/>
        <w:t>Cena</w:t>
      </w:r>
    </w:p>
    <w:p w14:paraId="7A7A0E82" w14:textId="77777777" w:rsidR="0068734A" w:rsidRPr="00D67776" w:rsidRDefault="00557F87" w:rsidP="00AF7B87">
      <w:pPr>
        <w:pStyle w:val="Clanek11"/>
        <w:jc w:val="both"/>
        <w:rPr>
          <w:rFonts w:cs="Times New Roman"/>
        </w:rPr>
      </w:pPr>
      <w:bookmarkStart w:id="36" w:name="_Ref114650857"/>
      <w:bookmarkStart w:id="37" w:name="_Ref114585095"/>
      <w:r w:rsidRPr="00D67776">
        <w:rPr>
          <w:rFonts w:cs="Times New Roman"/>
        </w:rPr>
        <w:t>Strany se dohodly na následujících cenác</w:t>
      </w:r>
      <w:r w:rsidR="0068734A" w:rsidRPr="00D67776">
        <w:rPr>
          <w:rFonts w:cs="Times New Roman"/>
        </w:rPr>
        <w:t>h plnění dle této Smlouvy:</w:t>
      </w:r>
      <w:bookmarkEnd w:id="36"/>
    </w:p>
    <w:p w14:paraId="7FC1816E" w14:textId="5E49A9E5" w:rsidR="004B5CF0" w:rsidRPr="00D67776" w:rsidRDefault="0068734A" w:rsidP="00F71AF5">
      <w:pPr>
        <w:pStyle w:val="Claneka"/>
        <w:jc w:val="both"/>
        <w:rPr>
          <w:rFonts w:ascii="Times New Roman" w:hAnsi="Times New Roman" w:cs="Times New Roman"/>
        </w:rPr>
      </w:pPr>
      <w:bookmarkStart w:id="38" w:name="_Ref114650098"/>
      <w:bookmarkStart w:id="39"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B11054">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8"/>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B11054">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B11054">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9"/>
    </w:p>
    <w:p w14:paraId="3D8F4FCC" w14:textId="2BF68407" w:rsidR="004B5CF0" w:rsidRPr="00D67776" w:rsidRDefault="004B5CF0" w:rsidP="00AF7B87">
      <w:pPr>
        <w:pStyle w:val="Claneka"/>
        <w:jc w:val="both"/>
        <w:rPr>
          <w:rFonts w:ascii="Times New Roman" w:hAnsi="Times New Roman" w:cs="Times New Roman"/>
        </w:rPr>
      </w:pPr>
      <w:bookmarkStart w:id="40"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1" w:name="_Hlk187413510"/>
      <w:r w:rsidR="003D11E8" w:rsidRPr="6CB5F36C">
        <w:rPr>
          <w:rFonts w:ascii="Times New Roman" w:hAnsi="Times New Roman" w:cs="Times New Roman"/>
        </w:rPr>
        <w:t xml:space="preserve">včetně vzdáleného diagnostického systému v režimu SAAS </w:t>
      </w:r>
      <w:r w:rsidR="4526A62D" w:rsidRPr="6CB5F36C">
        <w:rPr>
          <w:rFonts w:ascii="Times New Roman" w:hAnsi="Times New Roman" w:cs="Times New Roman"/>
        </w:rPr>
        <w:t>po dobu 10 let</w:t>
      </w:r>
      <w:bookmarkEnd w:id="41"/>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40"/>
    </w:p>
    <w:p w14:paraId="7100B3A5" w14:textId="6D413531"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B11054">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2"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2"/>
    </w:p>
    <w:p w14:paraId="1617528F" w14:textId="7A22F9B0"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B11054">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B11054">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7"/>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4C7DB3C2"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B11054">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lastRenderedPageBreak/>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1D594366"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B11054">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0CF51AEA"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B11054">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19C79E20"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3"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3"/>
      <w:r w:rsidRPr="00D67776">
        <w:rPr>
          <w:rFonts w:cs="Times New Roman"/>
        </w:rPr>
        <w:t xml:space="preserve"> </w:t>
      </w:r>
    </w:p>
    <w:p w14:paraId="0F38546C" w14:textId="0B95265E"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B11054">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4" w:name="_Ref114486538"/>
      <w:r w:rsidRPr="00D67776">
        <w:rPr>
          <w:rFonts w:ascii="Times New Roman" w:hAnsi="Times New Roman" w:cs="Times New Roman"/>
        </w:rPr>
        <w:lastRenderedPageBreak/>
        <w:t>Záruky</w:t>
      </w:r>
      <w:bookmarkEnd w:id="44"/>
    </w:p>
    <w:p w14:paraId="4B01D81A" w14:textId="77777777" w:rsidR="002E0635" w:rsidRPr="00D67776" w:rsidRDefault="00DF0E8C" w:rsidP="00B71C02">
      <w:pPr>
        <w:pStyle w:val="Clanek11"/>
        <w:keepNext/>
        <w:widowControl/>
        <w:jc w:val="both"/>
        <w:rPr>
          <w:rFonts w:cs="Times New Roman"/>
        </w:rPr>
      </w:pPr>
      <w:bookmarkStart w:id="45"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6" w:name="InLink%200"/>
      <w:bookmarkEnd w:id="45"/>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7"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7"/>
    </w:p>
    <w:p w14:paraId="53E7EEE8" w14:textId="595C6E4A" w:rsidR="00EA1735" w:rsidRPr="00D67776" w:rsidRDefault="00EE51AB" w:rsidP="00AF7B87">
      <w:pPr>
        <w:pStyle w:val="Claneka"/>
        <w:jc w:val="both"/>
        <w:rPr>
          <w:rFonts w:ascii="Times New Roman" w:hAnsi="Times New Roman" w:cs="Times New Roman"/>
        </w:rPr>
      </w:pPr>
      <w:bookmarkStart w:id="48"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48"/>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7CA8F57B" w:rsidR="00D24167" w:rsidRPr="0061761B" w:rsidRDefault="00927AC7" w:rsidP="00D644E5">
      <w:pPr>
        <w:pStyle w:val="Clanek11"/>
        <w:widowControl/>
        <w:jc w:val="both"/>
      </w:pPr>
      <w:bookmarkStart w:id="49"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B11054">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9"/>
    </w:p>
    <w:p w14:paraId="3E3A2A58" w14:textId="6A127848" w:rsidR="001E3CDE" w:rsidRPr="00D67776" w:rsidRDefault="001764A1" w:rsidP="00AF7B87">
      <w:pPr>
        <w:pStyle w:val="Clanek11"/>
        <w:jc w:val="both"/>
        <w:rPr>
          <w:rFonts w:cs="Times New Roman"/>
        </w:rPr>
      </w:pPr>
      <w:r w:rsidRPr="00D67776">
        <w:rPr>
          <w:rFonts w:cs="Times New Roman"/>
        </w:rPr>
        <w:t xml:space="preserve">Kupující je povinen vady Vozů, které se vyskytnou v průběhu záruční doby, nahlásit </w:t>
      </w:r>
      <w:r w:rsidRPr="00D67776">
        <w:rPr>
          <w:rFonts w:cs="Times New Roman"/>
        </w:rPr>
        <w:lastRenderedPageBreak/>
        <w:t>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50"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50"/>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1"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1"/>
    </w:p>
    <w:p w14:paraId="7142B149" w14:textId="5EB53C9A"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2"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B11054">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B11054">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2"/>
    </w:p>
    <w:p w14:paraId="26983495" w14:textId="72FDE5F6" w:rsidR="00DB70E4" w:rsidRPr="00D67776" w:rsidRDefault="00FE472E" w:rsidP="00822A60">
      <w:pPr>
        <w:pStyle w:val="Clanek11"/>
        <w:widowControl/>
        <w:jc w:val="both"/>
        <w:rPr>
          <w:rFonts w:cs="Times New Roman"/>
        </w:rPr>
      </w:pPr>
      <w:bookmarkStart w:id="53" w:name="_Ref114699128"/>
      <w:r w:rsidRPr="00EF363C">
        <w:rPr>
          <w:rFonts w:cs="Times New Roman"/>
        </w:rPr>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3"/>
    </w:p>
    <w:p w14:paraId="382603BB" w14:textId="3A010590" w:rsidR="00FF0E7D" w:rsidRPr="00D67776" w:rsidRDefault="00FF450F" w:rsidP="00D644E5">
      <w:pPr>
        <w:pStyle w:val="Clanek11"/>
        <w:widowControl/>
        <w:jc w:val="both"/>
        <w:rPr>
          <w:rFonts w:cs="Times New Roman"/>
        </w:rPr>
      </w:pPr>
      <w:bookmarkStart w:id="54"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B11054">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4"/>
    </w:p>
    <w:p w14:paraId="256A0157" w14:textId="77777777" w:rsidR="00927AC7" w:rsidRPr="00D67776" w:rsidRDefault="00927AC7" w:rsidP="00AB56A5">
      <w:pPr>
        <w:pStyle w:val="Clanek11"/>
        <w:widowControl/>
        <w:jc w:val="both"/>
        <w:rPr>
          <w:rFonts w:cs="Times New Roman"/>
        </w:rPr>
      </w:pPr>
      <w:r w:rsidRPr="00D67776">
        <w:rPr>
          <w:rFonts w:cs="Times New Roman"/>
        </w:rPr>
        <w:lastRenderedPageBreak/>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5"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rodávající doloží, že 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5"/>
    </w:p>
    <w:p w14:paraId="0F227FE7" w14:textId="77777777" w:rsidR="00DF0E8C" w:rsidRPr="00D67776" w:rsidRDefault="004E5E00" w:rsidP="00AF7B87">
      <w:pPr>
        <w:pStyle w:val="Nadpis1"/>
        <w:jc w:val="both"/>
        <w:rPr>
          <w:rFonts w:ascii="Times New Roman" w:hAnsi="Times New Roman" w:cs="Times New Roman"/>
        </w:rPr>
      </w:pPr>
      <w:bookmarkStart w:id="56" w:name="_Toc141841032"/>
      <w:bookmarkStart w:id="57" w:name="_Ref114675933"/>
      <w:bookmarkEnd w:id="56"/>
      <w:r w:rsidRPr="00D67776">
        <w:rPr>
          <w:rFonts w:ascii="Times New Roman" w:hAnsi="Times New Roman" w:cs="Times New Roman"/>
        </w:rPr>
        <w:t>S</w:t>
      </w:r>
      <w:r w:rsidR="003A619A" w:rsidRPr="00D67776">
        <w:rPr>
          <w:rFonts w:ascii="Times New Roman" w:hAnsi="Times New Roman" w:cs="Times New Roman"/>
        </w:rPr>
        <w:t>ankční ustanovení</w:t>
      </w:r>
      <w:bookmarkEnd w:id="57"/>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18B734BB"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234E4875"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B11054">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B11054">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B11054">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32D848F2"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B11054">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13C9D70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B11054">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5549F14F"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B11054">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5560624D"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B11054">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w:t>
      </w:r>
      <w:r w:rsidR="007A3004" w:rsidRPr="00D67776">
        <w:rPr>
          <w:rFonts w:ascii="Times New Roman" w:hAnsi="Times New Roman" w:cs="Times New Roman"/>
        </w:rPr>
        <w:lastRenderedPageBreak/>
        <w:t xml:space="preserve">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636467D7" w:rsidR="00C32374" w:rsidRPr="00EF363C" w:rsidRDefault="00FC223E" w:rsidP="00AF7B87">
      <w:pPr>
        <w:pStyle w:val="Claneka"/>
        <w:jc w:val="both"/>
        <w:rPr>
          <w:rFonts w:ascii="Times New Roman" w:hAnsi="Times New Roman" w:cs="Times New Roman"/>
        </w:rPr>
      </w:pPr>
      <w:bookmarkStart w:id="58"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8"/>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3240302F"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0CD269C9" w:rsidR="00CD7BBC" w:rsidRPr="00EF363C" w:rsidRDefault="00543A3B" w:rsidP="004862C0">
      <w:pPr>
        <w:pStyle w:val="Clanek11"/>
        <w:jc w:val="both"/>
      </w:pPr>
      <w:bookmarkStart w:id="59"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B11054">
        <w:t>6.1(d)</w:t>
      </w:r>
      <w:r w:rsidR="004862C0">
        <w:fldChar w:fldCharType="end"/>
      </w:r>
      <w:r w:rsidR="004862C0">
        <w:t xml:space="preserve"> této Smlouvy.</w:t>
      </w:r>
      <w:bookmarkEnd w:id="59"/>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t>Nebezpečí škody a přechod vlastnických práv</w:t>
      </w:r>
    </w:p>
    <w:p w14:paraId="10EE672D" w14:textId="17D52F4F" w:rsidR="00467B8D" w:rsidRPr="00D67776" w:rsidRDefault="00467B8D" w:rsidP="008454EB">
      <w:pPr>
        <w:pStyle w:val="Clanek11"/>
        <w:keepNext/>
        <w:keepLines/>
        <w:widowControl/>
        <w:jc w:val="both"/>
        <w:rPr>
          <w:rFonts w:cs="Times New Roman"/>
        </w:rPr>
      </w:pPr>
      <w:bookmarkStart w:id="60" w:name="_Ref31699281"/>
      <w:bookmarkStart w:id="61"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B11054">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60"/>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1"/>
    </w:p>
    <w:p w14:paraId="24F8D721" w14:textId="419D23E2" w:rsidR="00467B8D" w:rsidRPr="00D67776" w:rsidRDefault="00467B8D" w:rsidP="008454EB">
      <w:pPr>
        <w:pStyle w:val="Clanek11"/>
        <w:keepNext/>
        <w:keepLines/>
        <w:widowControl/>
        <w:jc w:val="both"/>
        <w:rPr>
          <w:rFonts w:cs="Times New Roman"/>
        </w:rPr>
      </w:pPr>
      <w:bookmarkStart w:id="62" w:name="_Ref32500492"/>
      <w:bookmarkStart w:id="63"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B11054">
        <w:rPr>
          <w:rFonts w:cs="Times New Roman"/>
        </w:rPr>
        <w:t>5.16</w:t>
      </w:r>
      <w:r w:rsidR="004D0513" w:rsidRPr="00D67776">
        <w:rPr>
          <w:rFonts w:cs="Times New Roman"/>
        </w:rPr>
        <w:fldChar w:fldCharType="end"/>
      </w:r>
      <w:r w:rsidR="004D0513" w:rsidRPr="00D67776">
        <w:rPr>
          <w:rFonts w:cs="Times New Roman"/>
        </w:rPr>
        <w:t xml:space="preserve"> této Smlouvy.</w:t>
      </w:r>
      <w:bookmarkEnd w:id="62"/>
      <w:bookmarkEnd w:id="63"/>
    </w:p>
    <w:p w14:paraId="7961E626" w14:textId="77777777" w:rsidR="00203B46" w:rsidRPr="00D67776" w:rsidRDefault="00203B46" w:rsidP="00AF7B87">
      <w:pPr>
        <w:pStyle w:val="Nadpis1"/>
        <w:jc w:val="both"/>
        <w:rPr>
          <w:rFonts w:ascii="Times New Roman" w:hAnsi="Times New Roman" w:cs="Times New Roman"/>
        </w:rPr>
      </w:pPr>
      <w:bookmarkStart w:id="64" w:name="_Toc2011600"/>
      <w:bookmarkStart w:id="65" w:name="_Toc2861125"/>
      <w:bookmarkStart w:id="66" w:name="_Ref114675942"/>
      <w:r w:rsidRPr="00D67776">
        <w:rPr>
          <w:rFonts w:ascii="Times New Roman" w:hAnsi="Times New Roman" w:cs="Times New Roman"/>
        </w:rPr>
        <w:t>Nároky třetích osob</w:t>
      </w:r>
      <w:bookmarkEnd w:id="64"/>
      <w:bookmarkEnd w:id="65"/>
      <w:bookmarkEnd w:id="66"/>
    </w:p>
    <w:p w14:paraId="3BC745DA" w14:textId="77777777" w:rsidR="00203B46" w:rsidRPr="00D67776" w:rsidRDefault="00203B46" w:rsidP="008A2959">
      <w:pPr>
        <w:pStyle w:val="Clanek11"/>
        <w:widowControl/>
        <w:jc w:val="both"/>
        <w:rPr>
          <w:rFonts w:cs="Times New Roman"/>
        </w:rPr>
      </w:pPr>
      <w:r w:rsidRPr="00D67776">
        <w:rPr>
          <w:rFonts w:cs="Times New Roman"/>
        </w:rPr>
        <w:t xml:space="preserve">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w:t>
      </w:r>
      <w:r w:rsidRPr="00D67776">
        <w:rPr>
          <w:rFonts w:cs="Times New Roman"/>
        </w:rPr>
        <w:lastRenderedPageBreak/>
        <w:t>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7" w:name="_Ref114656468"/>
      <w:bookmarkStart w:id="68" w:name="_Ref114701302"/>
      <w:r w:rsidRPr="00D67776">
        <w:rPr>
          <w:rFonts w:ascii="Times New Roman" w:hAnsi="Times New Roman" w:cs="Times New Roman"/>
        </w:rPr>
        <w:t>Ochrana Důvěrných infromací</w:t>
      </w:r>
      <w:bookmarkEnd w:id="67"/>
      <w:bookmarkEnd w:id="68"/>
    </w:p>
    <w:p w14:paraId="524E4D50" w14:textId="77777777" w:rsidR="000F3666" w:rsidRPr="00D67776" w:rsidRDefault="000F3666" w:rsidP="00AF7B87">
      <w:pPr>
        <w:pStyle w:val="Clanek11"/>
        <w:jc w:val="both"/>
        <w:rPr>
          <w:rFonts w:cs="Times New Roman"/>
        </w:rPr>
      </w:pPr>
      <w:bookmarkStart w:id="69" w:name="_Ref464229686"/>
      <w:bookmarkStart w:id="70"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9"/>
      <w:r w:rsidRPr="00D67776">
        <w:rPr>
          <w:rFonts w:cs="Times New Roman"/>
        </w:rPr>
        <w:t xml:space="preserve"> </w:t>
      </w:r>
      <w:bookmarkEnd w:id="70"/>
    </w:p>
    <w:p w14:paraId="20F8E914" w14:textId="77777777" w:rsidR="000F3666" w:rsidRPr="00D67776" w:rsidRDefault="000F3666" w:rsidP="00AF7B87">
      <w:pPr>
        <w:pStyle w:val="Clanek11"/>
        <w:jc w:val="both"/>
        <w:rPr>
          <w:rFonts w:cs="Times New Roman"/>
        </w:rPr>
      </w:pPr>
      <w:bookmarkStart w:id="71"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1"/>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0E9C2473"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B11054">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 xml:space="preserve">Strany vyvinou pro zachování důvěrnosti Důvěrných informací druhé Strany a pro jejich ochranu stejné úsilí, jako by se jednalo o jejich vlastní Důvěrné informace. S výjimkou rozsahu, </w:t>
      </w:r>
      <w:r w:rsidRPr="00D67776">
        <w:rPr>
          <w:rFonts w:cs="Times New Roman"/>
        </w:rPr>
        <w:lastRenderedPageBreak/>
        <w:t>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03968F87" w:rsidR="000F3666" w:rsidRPr="00D67776" w:rsidRDefault="005F7E22" w:rsidP="00AF7B87">
      <w:pPr>
        <w:pStyle w:val="Clanek11"/>
        <w:jc w:val="both"/>
        <w:rPr>
          <w:rFonts w:cs="Times New Roman"/>
        </w:rPr>
      </w:pPr>
      <w:bookmarkStart w:id="72"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B11054">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2"/>
    <w:p w14:paraId="654F009C" w14:textId="03AD3790"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B11054">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3" w:name="_Ref114696805"/>
      <w:bookmarkEnd w:id="46"/>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3"/>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lastRenderedPageBreak/>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4"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5" w:name="_Ref515486531"/>
      <w:bookmarkStart w:id="76" w:name="_Toc517956381"/>
      <w:bookmarkStart w:id="77" w:name="_Toc533077300"/>
      <w:bookmarkStart w:id="78"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79" w:name="_Ref114732403"/>
      <w:r w:rsidRPr="00D67776">
        <w:rPr>
          <w:rFonts w:ascii="Times New Roman" w:hAnsi="Times New Roman" w:cs="Times New Roman"/>
        </w:rPr>
        <w:t>Pojištění</w:t>
      </w:r>
      <w:bookmarkEnd w:id="75"/>
      <w:bookmarkEnd w:id="76"/>
      <w:bookmarkEnd w:id="77"/>
      <w:bookmarkEnd w:id="79"/>
    </w:p>
    <w:p w14:paraId="4CDCD9B9" w14:textId="77777777" w:rsidR="00CC571B" w:rsidRPr="00D67776" w:rsidRDefault="00CC571B" w:rsidP="003F0D37">
      <w:pPr>
        <w:pStyle w:val="Clanek11"/>
        <w:keepNext/>
        <w:keepLines/>
        <w:jc w:val="both"/>
        <w:rPr>
          <w:rFonts w:cs="Times New Roman"/>
        </w:rPr>
      </w:pPr>
      <w:bookmarkStart w:id="80"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80"/>
      <w:r w:rsidRPr="00D67776">
        <w:rPr>
          <w:rFonts w:cs="Times New Roman"/>
        </w:rPr>
        <w:t xml:space="preserve"> </w:t>
      </w:r>
    </w:p>
    <w:p w14:paraId="4F996533" w14:textId="57E784BA"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B11054">
        <w:rPr>
          <w:rFonts w:cs="Times New Roman"/>
        </w:rPr>
        <w:t>14.1</w:t>
      </w:r>
      <w:r w:rsidRPr="00D67776">
        <w:rPr>
          <w:rFonts w:cs="Times New Roman"/>
        </w:rPr>
        <w:fldChar w:fldCharType="end"/>
      </w:r>
      <w:r w:rsidRPr="00D67776">
        <w:rPr>
          <w:rFonts w:cs="Times New Roman"/>
        </w:rPr>
        <w:t xml:space="preserve"> této Smlouvy bez předchozího písemného souhlasu Kupujícího.</w:t>
      </w:r>
    </w:p>
    <w:p w14:paraId="4ACC2AF2" w14:textId="72EE776C"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B11054">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1" w:name="_Ref124760311"/>
      <w:r w:rsidRPr="00D67776">
        <w:rPr>
          <w:rFonts w:ascii="Times New Roman" w:hAnsi="Times New Roman" w:cs="Times New Roman"/>
        </w:rPr>
        <w:t>Prohlášení</w:t>
      </w:r>
      <w:bookmarkEnd w:id="78"/>
      <w:bookmarkEnd w:id="81"/>
    </w:p>
    <w:p w14:paraId="010F1C7A" w14:textId="77777777" w:rsidR="00BC7BE7" w:rsidRPr="00D67776" w:rsidRDefault="00BC7BE7" w:rsidP="00091019">
      <w:pPr>
        <w:pStyle w:val="Clanek11"/>
        <w:keepNext/>
        <w:widowControl/>
        <w:jc w:val="both"/>
        <w:rPr>
          <w:rFonts w:cs="Times New Roman"/>
        </w:rPr>
      </w:pPr>
      <w:bookmarkStart w:id="82" w:name="_Ref104220525"/>
      <w:r w:rsidRPr="00D67776">
        <w:rPr>
          <w:rFonts w:cs="Times New Roman"/>
        </w:rPr>
        <w:t>Prodávající prohlašuje, že:</w:t>
      </w:r>
      <w:bookmarkEnd w:id="82"/>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lastRenderedPageBreak/>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5EF5EEC7" w:rsidR="0087080B" w:rsidRPr="00D67776" w:rsidRDefault="00D57DFB" w:rsidP="00AF7B87">
      <w:pPr>
        <w:pStyle w:val="Clanek11"/>
        <w:jc w:val="both"/>
        <w:rPr>
          <w:rFonts w:cs="Times New Roman"/>
        </w:rPr>
      </w:pPr>
      <w:bookmarkStart w:id="83"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B11054">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3"/>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04FBB515"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B11054">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4"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84"/>
    </w:p>
    <w:p w14:paraId="7842D54F" w14:textId="77777777" w:rsidR="00292578" w:rsidRPr="00EF363C" w:rsidRDefault="00166751" w:rsidP="00AF7B87">
      <w:pPr>
        <w:pStyle w:val="Claneka"/>
        <w:jc w:val="both"/>
        <w:rPr>
          <w:rFonts w:ascii="Times New Roman" w:hAnsi="Times New Roman" w:cs="Times New Roman"/>
        </w:rPr>
      </w:pPr>
      <w:bookmarkStart w:id="85"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5"/>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5A5396F0" w:rsidR="003430D3" w:rsidRPr="003430D3" w:rsidRDefault="00C0534C" w:rsidP="00FE25D8">
      <w:pPr>
        <w:pStyle w:val="Claneka"/>
        <w:jc w:val="both"/>
        <w:rPr>
          <w:rFonts w:ascii="Times New Roman" w:hAnsi="Times New Roman" w:cs="Times New Roman"/>
        </w:rPr>
      </w:pPr>
      <w:bookmarkStart w:id="86"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B31D1C">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fldChar w:fldCharType="begin"/>
      </w:r>
      <w:r w:rsidR="003430D3" w:rsidRPr="003430D3">
        <w:rPr>
          <w:rFonts w:ascii="Times New Roman" w:hAnsi="Times New Roman" w:cs="Times New Roman"/>
        </w:rPr>
        <w:instrText xml:space="preserve"> REF _Ref90476819 \r \h  \* MERGEFORMAT </w:instrText>
      </w:r>
      <w:r w:rsidR="003430D3" w:rsidRPr="003430D3">
        <w:rPr>
          <w:rFonts w:ascii="Times New Roman" w:hAnsi="Times New Roman" w:cs="Times New Roman"/>
        </w:rPr>
      </w:r>
      <w:r w:rsidR="003430D3" w:rsidRPr="003430D3">
        <w:rPr>
          <w:rFonts w:ascii="Times New Roman" w:hAnsi="Times New Roman" w:cs="Times New Roman"/>
        </w:rPr>
        <w:fldChar w:fldCharType="separate"/>
      </w:r>
      <w:r w:rsidR="00B11054">
        <w:rPr>
          <w:rFonts w:ascii="Times New Roman" w:hAnsi="Times New Roman" w:cs="Times New Roman"/>
          <w:b/>
          <w:bCs/>
        </w:rPr>
        <w:t>.</w:t>
      </w:r>
      <w:r w:rsidR="003430D3" w:rsidRPr="003430D3">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86"/>
    </w:p>
    <w:p w14:paraId="52C75E40" w14:textId="29468B27"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lastRenderedPageBreak/>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7C8D3F0B" w:rsidR="00AF7B87" w:rsidRPr="00AF7B87" w:rsidRDefault="00582756" w:rsidP="00AF7B87">
      <w:pPr>
        <w:pStyle w:val="Clanek11"/>
        <w:jc w:val="both"/>
      </w:pPr>
      <w:bookmarkStart w:id="87" w:name="_Ref116911050"/>
      <w:bookmarkStart w:id="88"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B11054">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B11054">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B11054">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B11054">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B11054">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B11054">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B11054">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B11054">
        <w:rPr>
          <w:rFonts w:cs="Times New Roman"/>
        </w:rPr>
        <w:t>16.8</w:t>
      </w:r>
      <w:r w:rsidR="00AD45FA">
        <w:rPr>
          <w:rFonts w:cs="Times New Roman"/>
        </w:rPr>
        <w:fldChar w:fldCharType="end"/>
      </w:r>
      <w:r w:rsidR="00CC5F19" w:rsidRPr="00D67776">
        <w:rPr>
          <w:rFonts w:cs="Times New Roman"/>
        </w:rPr>
        <w:t xml:space="preserve"> této Smlouvy.</w:t>
      </w:r>
      <w:bookmarkEnd w:id="87"/>
      <w:r w:rsidRPr="00D67776">
        <w:rPr>
          <w:rFonts w:cs="Times New Roman"/>
        </w:rPr>
        <w:t xml:space="preserve"> </w:t>
      </w:r>
      <w:bookmarkEnd w:id="88"/>
    </w:p>
    <w:p w14:paraId="5FE6A77C" w14:textId="77777777" w:rsidR="00283D8C" w:rsidRPr="00D67776" w:rsidRDefault="00DF11F2" w:rsidP="00AF7B87">
      <w:pPr>
        <w:pStyle w:val="Nadpis1"/>
        <w:jc w:val="both"/>
        <w:rPr>
          <w:rFonts w:ascii="Times New Roman" w:hAnsi="Times New Roman" w:cs="Times New Roman"/>
        </w:rPr>
      </w:pPr>
      <w:bookmarkStart w:id="89"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90" w:name="_Toc2011608"/>
      <w:bookmarkStart w:id="91" w:name="_Toc2861133"/>
      <w:bookmarkStart w:id="92" w:name="_Ref114676736"/>
      <w:bookmarkEnd w:id="89"/>
      <w:r w:rsidRPr="00D67776">
        <w:rPr>
          <w:rFonts w:ascii="Times New Roman" w:hAnsi="Times New Roman" w:cs="Times New Roman"/>
        </w:rPr>
        <w:t>Rozhodné právo a řešení sporů</w:t>
      </w:r>
      <w:bookmarkEnd w:id="90"/>
      <w:bookmarkEnd w:id="91"/>
      <w:bookmarkEnd w:id="92"/>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93" w:name="_Ref124760737"/>
      <w:r w:rsidRPr="005F0717">
        <w:rPr>
          <w:rFonts w:ascii="Times New Roman" w:hAnsi="Times New Roman" w:cs="Times New Roman"/>
        </w:rPr>
        <w:t>Podmínky poskytovatele dotace</w:t>
      </w:r>
      <w:bookmarkEnd w:id="93"/>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w:t>
      </w:r>
      <w:r w:rsidRPr="005F0717">
        <w:rPr>
          <w:rFonts w:cs="Times New Roman"/>
        </w:rPr>
        <w:lastRenderedPageBreak/>
        <w:t xml:space="preserve">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4"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4"/>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5" w:name="_Ref471224591"/>
      <w:r w:rsidRPr="00D67776">
        <w:rPr>
          <w:rFonts w:cs="Times New Roman"/>
        </w:rPr>
        <w:t>V souvislosti s aplikací ZRS na tuto Smlouvu se Strany dohodly na anebo souhlasí s následujícím:</w:t>
      </w:r>
      <w:bookmarkEnd w:id="95"/>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6" w:name="_Ref469433282"/>
      <w:r w:rsidRPr="00CE30FF">
        <w:rPr>
          <w:rFonts w:ascii="Times New Roman" w:hAnsi="Times New Roman" w:cs="Times New Roman"/>
        </w:rPr>
        <w:lastRenderedPageBreak/>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6"/>
      <w:r w:rsidR="00B27479" w:rsidRPr="00D67776">
        <w:rPr>
          <w:rFonts w:ascii="Times New Roman" w:hAnsi="Times New Roman" w:cs="Times New Roman"/>
        </w:rPr>
        <w:t xml:space="preserve"> </w:t>
      </w:r>
    </w:p>
    <w:p w14:paraId="398C7D1E" w14:textId="2C43E001"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B11054">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97"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97"/>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4"/>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98"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98"/>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99" w:name="_Ref116911147"/>
      <w:r w:rsidRPr="00EF363C">
        <w:rPr>
          <w:rFonts w:cs="Times New Roman"/>
        </w:rPr>
        <w:lastRenderedPageBreak/>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99"/>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33E266DC" w14:textId="77777777" w:rsidR="00716E95" w:rsidRPr="00D67776" w:rsidRDefault="004261AF" w:rsidP="00B6628D">
      <w:pPr>
        <w:pStyle w:val="Claneka"/>
        <w:keepLines w:val="0"/>
        <w:widowControl/>
        <w:jc w:val="both"/>
        <w:rPr>
          <w:rFonts w:ascii="Times New Roman" w:hAnsi="Times New Roman" w:cs="Times New Roman"/>
          <w:i/>
        </w:rPr>
      </w:pPr>
      <w:r w:rsidRPr="004261AF">
        <w:rPr>
          <w:rFonts w:ascii="Times New Roman" w:hAnsi="Times New Roman" w:cs="Times New Roman"/>
          <w:b/>
          <w:bCs/>
        </w:rPr>
        <w:t>Příloha č</w:t>
      </w:r>
      <w:r w:rsidRPr="004261AF">
        <w:rPr>
          <w:rFonts w:ascii="Times New Roman" w:hAnsi="Times New Roman" w:cs="Times New Roman"/>
        </w:rPr>
        <w:t xml:space="preserve">. </w:t>
      </w:r>
      <w:r w:rsidRPr="004261AF">
        <w:rPr>
          <w:rFonts w:ascii="Times New Roman" w:hAnsi="Times New Roman" w:cs="Times New Roman"/>
          <w:b/>
          <w:bCs/>
        </w:rPr>
        <w:t>9</w:t>
      </w:r>
      <w:r w:rsidRPr="004261AF">
        <w:rPr>
          <w:rFonts w:ascii="Times New Roman" w:hAnsi="Times New Roman" w:cs="Times New Roman"/>
        </w:rPr>
        <w:t>: Specifikace a cena vzduchových clon</w:t>
      </w:r>
      <w:r w:rsidR="00716E95">
        <w:rPr>
          <w:rFonts w:ascii="Times New Roman" w:hAnsi="Times New Roman" w:cs="Times New Roman"/>
        </w:rPr>
        <w:t xml:space="preserve"> (bude součástí nabídky)</w:t>
      </w:r>
      <w:r w:rsidR="00716E95" w:rsidRPr="00D67776">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CBA2" w14:textId="77777777" w:rsidR="005A0426" w:rsidRDefault="005A0426">
      <w:r>
        <w:separator/>
      </w:r>
    </w:p>
  </w:endnote>
  <w:endnote w:type="continuationSeparator" w:id="0">
    <w:p w14:paraId="281F00E8" w14:textId="77777777" w:rsidR="005A0426" w:rsidRDefault="005A0426">
      <w:r>
        <w:continuationSeparator/>
      </w:r>
    </w:p>
  </w:endnote>
  <w:endnote w:type="continuationNotice" w:id="1">
    <w:p w14:paraId="6EC18D19" w14:textId="77777777" w:rsidR="005A0426" w:rsidRDefault="005A0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EndPr/>
    <w:sdtContent>
      <w:sdt>
        <w:sdtPr>
          <w:rPr>
            <w:i/>
            <w:iCs/>
            <w:sz w:val="18"/>
            <w:szCs w:val="18"/>
          </w:rPr>
          <w:id w:val="-1137486032"/>
          <w:docPartObj>
            <w:docPartGallery w:val="Page Numbers (Top of Page)"/>
            <w:docPartUnique/>
          </w:docPartObj>
        </w:sdtPr>
        <w:sdtEndPr/>
        <w:sdtContent>
          <w:p w14:paraId="2950A155" w14:textId="7807A07D"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5A0426">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5A0426">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8D35" w14:textId="77777777" w:rsidR="005A0426" w:rsidRDefault="005A0426">
      <w:r>
        <w:separator/>
      </w:r>
    </w:p>
  </w:footnote>
  <w:footnote w:type="continuationSeparator" w:id="0">
    <w:p w14:paraId="049BA449" w14:textId="77777777" w:rsidR="005A0426" w:rsidRDefault="005A0426">
      <w:r>
        <w:continuationSeparator/>
      </w:r>
    </w:p>
  </w:footnote>
  <w:footnote w:type="continuationNotice" w:id="1">
    <w:p w14:paraId="59EC44A8" w14:textId="77777777" w:rsidR="005A0426" w:rsidRDefault="005A0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2770666">
    <w:abstractNumId w:val="14"/>
  </w:num>
  <w:num w:numId="2" w16cid:durableId="256404031">
    <w:abstractNumId w:val="20"/>
  </w:num>
  <w:num w:numId="3" w16cid:durableId="994798510">
    <w:abstractNumId w:val="37"/>
  </w:num>
  <w:num w:numId="4" w16cid:durableId="569733549">
    <w:abstractNumId w:val="15"/>
  </w:num>
  <w:num w:numId="5" w16cid:durableId="1811052323">
    <w:abstractNumId w:val="12"/>
  </w:num>
  <w:num w:numId="6" w16cid:durableId="1433015349">
    <w:abstractNumId w:val="38"/>
  </w:num>
  <w:num w:numId="7" w16cid:durableId="1845902990">
    <w:abstractNumId w:val="34"/>
  </w:num>
  <w:num w:numId="8" w16cid:durableId="1953898008">
    <w:abstractNumId w:val="19"/>
  </w:num>
  <w:num w:numId="9" w16cid:durableId="1515727743">
    <w:abstractNumId w:val="4"/>
  </w:num>
  <w:num w:numId="10" w16cid:durableId="98256977">
    <w:abstractNumId w:val="25"/>
  </w:num>
  <w:num w:numId="11" w16cid:durableId="1523474353">
    <w:abstractNumId w:val="9"/>
  </w:num>
  <w:num w:numId="12" w16cid:durableId="138886188">
    <w:abstractNumId w:val="28"/>
  </w:num>
  <w:num w:numId="13" w16cid:durableId="600407308">
    <w:abstractNumId w:val="23"/>
  </w:num>
  <w:num w:numId="14" w16cid:durableId="2103838227">
    <w:abstractNumId w:val="31"/>
  </w:num>
  <w:num w:numId="15" w16cid:durableId="472454745">
    <w:abstractNumId w:val="5"/>
  </w:num>
  <w:num w:numId="16" w16cid:durableId="248586951">
    <w:abstractNumId w:val="16"/>
  </w:num>
  <w:num w:numId="17" w16cid:durableId="1242134945">
    <w:abstractNumId w:val="33"/>
  </w:num>
  <w:num w:numId="18" w16cid:durableId="251201029">
    <w:abstractNumId w:val="30"/>
  </w:num>
  <w:num w:numId="19" w16cid:durableId="1258714633">
    <w:abstractNumId w:val="35"/>
  </w:num>
  <w:num w:numId="20" w16cid:durableId="716203181">
    <w:abstractNumId w:val="17"/>
  </w:num>
  <w:num w:numId="21" w16cid:durableId="108277988">
    <w:abstractNumId w:val="10"/>
  </w:num>
  <w:num w:numId="22" w16cid:durableId="1637491398">
    <w:abstractNumId w:val="32"/>
  </w:num>
  <w:num w:numId="23" w16cid:durableId="2133013371">
    <w:abstractNumId w:val="24"/>
  </w:num>
  <w:num w:numId="24" w16cid:durableId="1766531391">
    <w:abstractNumId w:val="27"/>
  </w:num>
  <w:num w:numId="25" w16cid:durableId="930089594">
    <w:abstractNumId w:val="11"/>
  </w:num>
  <w:num w:numId="26" w16cid:durableId="331227568">
    <w:abstractNumId w:val="8"/>
  </w:num>
  <w:num w:numId="27" w16cid:durableId="1684479726">
    <w:abstractNumId w:val="36"/>
  </w:num>
  <w:num w:numId="28" w16cid:durableId="625087689">
    <w:abstractNumId w:val="13"/>
  </w:num>
  <w:num w:numId="29" w16cid:durableId="2035878651">
    <w:abstractNumId w:val="18"/>
  </w:num>
  <w:num w:numId="30" w16cid:durableId="210588333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3952218">
    <w:abstractNumId w:val="26"/>
  </w:num>
  <w:num w:numId="32" w16cid:durableId="1356806101">
    <w:abstractNumId w:val="22"/>
  </w:num>
  <w:num w:numId="33" w16cid:durableId="1714191562">
    <w:abstractNumId w:val="6"/>
  </w:num>
  <w:num w:numId="34" w16cid:durableId="1647391337">
    <w:abstractNumId w:val="21"/>
  </w:num>
  <w:num w:numId="35" w16cid:durableId="520358606">
    <w:abstractNumId w:val="7"/>
  </w:num>
  <w:num w:numId="36" w16cid:durableId="1271932909">
    <w:abstractNumId w:val="34"/>
  </w:num>
  <w:num w:numId="37" w16cid:durableId="273950954">
    <w:abstractNumId w:val="34"/>
  </w:num>
  <w:num w:numId="38" w16cid:durableId="280264500">
    <w:abstractNumId w:val="34"/>
  </w:num>
  <w:num w:numId="39" w16cid:durableId="115753946">
    <w:abstractNumId w:val="34"/>
  </w:num>
  <w:num w:numId="40" w16cid:durableId="1712873638">
    <w:abstractNumId w:val="29"/>
  </w:num>
  <w:num w:numId="41" w16cid:durableId="11686148">
    <w:abstractNumId w:val="34"/>
  </w:num>
  <w:num w:numId="42" w16cid:durableId="2083142283">
    <w:abstractNumId w:val="34"/>
  </w:num>
  <w:num w:numId="43" w16cid:durableId="1485926504">
    <w:abstractNumId w:val="34"/>
  </w:num>
  <w:num w:numId="44" w16cid:durableId="1376848853">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0F49"/>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310"/>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6193"/>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66C"/>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6DB"/>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141"/>
    <w:rsid w:val="003C7D48"/>
    <w:rsid w:val="003D11E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EB1"/>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31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426"/>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0F24"/>
    <w:rsid w:val="005D15EE"/>
    <w:rsid w:val="005D172B"/>
    <w:rsid w:val="005D1B8C"/>
    <w:rsid w:val="005D1DAC"/>
    <w:rsid w:val="005D21E9"/>
    <w:rsid w:val="005D262B"/>
    <w:rsid w:val="005D26F3"/>
    <w:rsid w:val="005D2A94"/>
    <w:rsid w:val="005D3752"/>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4F1"/>
    <w:rsid w:val="00660AFB"/>
    <w:rsid w:val="00660D5F"/>
    <w:rsid w:val="0066128A"/>
    <w:rsid w:val="00661C9A"/>
    <w:rsid w:val="00662782"/>
    <w:rsid w:val="00665DE9"/>
    <w:rsid w:val="0066609C"/>
    <w:rsid w:val="00666B31"/>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08E1"/>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419"/>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598"/>
    <w:rsid w:val="00B0691C"/>
    <w:rsid w:val="00B06D0E"/>
    <w:rsid w:val="00B0734A"/>
    <w:rsid w:val="00B0766E"/>
    <w:rsid w:val="00B07A1F"/>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37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4A4"/>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0E8"/>
    <w:rsid w:val="00F44617"/>
    <w:rsid w:val="00F44BC5"/>
    <w:rsid w:val="00F46B33"/>
    <w:rsid w:val="00F519C3"/>
    <w:rsid w:val="00F529CF"/>
    <w:rsid w:val="00F53C5E"/>
    <w:rsid w:val="00F54B76"/>
    <w:rsid w:val="00F54CEF"/>
    <w:rsid w:val="00F55749"/>
    <w:rsid w:val="00F56800"/>
    <w:rsid w:val="00F56938"/>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6"/>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39E3"/>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 w:val="1A344739"/>
    <w:rsid w:val="2A980E99"/>
    <w:rsid w:val="337546C8"/>
    <w:rsid w:val="3636D713"/>
    <w:rsid w:val="428A0A07"/>
    <w:rsid w:val="43E14816"/>
    <w:rsid w:val="440C2BB9"/>
    <w:rsid w:val="4526A62D"/>
    <w:rsid w:val="480E15E9"/>
    <w:rsid w:val="57221816"/>
    <w:rsid w:val="6CB5F36C"/>
    <w:rsid w:val="6CEA890E"/>
    <w:rsid w:val="6DCB5AB7"/>
    <w:rsid w:val="7F5B9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6B31"/>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666B3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66B31"/>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88515-7647-4F0F-86D8-4492E90EB7A8}">
  <ds:schemaRefs>
    <ds:schemaRef ds:uri="http://schemas.openxmlformats.org/officeDocument/2006/bibliography"/>
  </ds:schemaRefs>
</ds:datastoreItem>
</file>

<file path=customXml/itemProps2.xml><?xml version="1.0" encoding="utf-8"?>
<ds:datastoreItem xmlns:ds="http://schemas.openxmlformats.org/officeDocument/2006/customXml" ds:itemID="{D735C069-D0BA-4177-9486-C7348FAC849B}">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purl.org/dc/terms/"/>
    <ds:schemaRef ds:uri="600b26c9-6af1-43a0-a13b-040abf43dd60"/>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4.xml><?xml version="1.0" encoding="utf-8"?>
<ds:datastoreItem xmlns:ds="http://schemas.openxmlformats.org/officeDocument/2006/customXml" ds:itemID="{053DED57-7FE9-4186-9200-13329350077E}">
  <ds:schemaRefs>
    <ds:schemaRef ds:uri="http://schemas.openxmlformats.org/officeDocument/2006/bibliography"/>
  </ds:schemaRefs>
</ds:datastoreItem>
</file>

<file path=customXml/itemProps5.xml><?xml version="1.0" encoding="utf-8"?>
<ds:datastoreItem xmlns:ds="http://schemas.openxmlformats.org/officeDocument/2006/customXml" ds:itemID="{EB15253A-B3E5-477B-A17E-2AD50C0B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13223</Words>
  <Characters>78021</Characters>
  <Application>Microsoft Office Word</Application>
  <DocSecurity>0</DocSecurity>
  <Lines>650</Lines>
  <Paragraphs>182</Paragraphs>
  <ScaleCrop>false</ScaleCrop>
  <Company/>
  <LinksUpToDate>false</LinksUpToDate>
  <CharactersWithSpaces>91062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20</cp:revision>
  <cp:lastPrinted>2018-01-21T04:25:00Z</cp:lastPrinted>
  <dcterms:created xsi:type="dcterms:W3CDTF">2023-05-12T12:54:00Z</dcterms:created>
  <dcterms:modified xsi:type="dcterms:W3CDTF">2025-03-13T15:31:00Z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f15a8442-68f3-4087-8f05-d564bed44e92_Enabled">
    <vt:lpwstr>true</vt:lpwstr>
  </property>
  <property fmtid="{D5CDD505-2E9C-101B-9397-08002B2CF9AE}" pid="11" name="MSIP_Label_f15a8442-68f3-4087-8f05-d564bed44e92_SetDate">
    <vt:lpwstr>2024-11-26T16:47:52Z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74689080-79d1-440d-9441-c19d992a8507</vt:lpwstr>
  </property>
  <property fmtid="{D5CDD505-2E9C-101B-9397-08002B2CF9AE}" pid="16" name="MSIP_Label_f15a8442-68f3-4087-8f05-d564bed44e92_ContentBits">
    <vt:lpwstr>0</vt:lpwstr>
  </property>
</Properties>
</file>