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77777777"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C55160" w:rsidRPr="005D391D">
        <w:rPr>
          <w:rFonts w:ascii="Calibri" w:hAnsi="Calibri" w:cs="Calibri"/>
          <w:b/>
          <w:snapToGrid w:val="0"/>
          <w:sz w:val="28"/>
          <w:szCs w:val="28"/>
        </w:rPr>
        <w:t>DOHODA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77777777"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dohody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77777777"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rámcové dohody</w:t>
      </w:r>
    </w:p>
    <w:p w14:paraId="6A31BB67" w14:textId="5714003A" w:rsidR="00EA752A" w:rsidRPr="00EA752A" w:rsidRDefault="00C55160" w:rsidP="00EA752A">
      <w:pPr>
        <w:numPr>
          <w:ilvl w:val="0"/>
          <w:numId w:val="10"/>
        </w:numPr>
        <w:spacing w:before="240"/>
        <w:ind w:left="426" w:hanging="426"/>
        <w:jc w:val="both"/>
        <w:rPr>
          <w:rFonts w:ascii="Calibri" w:hAnsi="Calibri" w:cs="Calibri"/>
          <w:b/>
          <w:bCs/>
          <w:sz w:val="22"/>
          <w:szCs w:val="22"/>
        </w:rPr>
      </w:pPr>
      <w:r w:rsidRPr="00EA752A">
        <w:rPr>
          <w:rFonts w:ascii="Calibri" w:hAnsi="Calibri" w:cs="Calibri"/>
          <w:sz w:val="22"/>
          <w:szCs w:val="22"/>
        </w:rPr>
        <w:t xml:space="preserve">Účelem této </w:t>
      </w:r>
      <w:r w:rsidR="00BA036C" w:rsidRPr="00EA752A">
        <w:rPr>
          <w:rFonts w:ascii="Calibri" w:hAnsi="Calibri" w:cs="Calibri"/>
          <w:sz w:val="22"/>
          <w:szCs w:val="22"/>
        </w:rPr>
        <w:t>rámcové dohody</w:t>
      </w:r>
      <w:r w:rsidRPr="00EA752A">
        <w:rPr>
          <w:rFonts w:ascii="Calibri" w:hAnsi="Calibri" w:cs="Calibri"/>
          <w:sz w:val="22"/>
          <w:szCs w:val="22"/>
        </w:rPr>
        <w:t xml:space="preserve"> je zabezpečit </w:t>
      </w:r>
      <w:r w:rsidR="00594734" w:rsidRPr="00EA752A">
        <w:rPr>
          <w:rFonts w:ascii="Calibri" w:hAnsi="Calibri" w:cs="Calibri"/>
          <w:sz w:val="22"/>
          <w:szCs w:val="22"/>
        </w:rPr>
        <w:t xml:space="preserve">pro kupujícího </w:t>
      </w:r>
      <w:r w:rsidRPr="00EA752A">
        <w:rPr>
          <w:rFonts w:ascii="Calibri" w:hAnsi="Calibri" w:cs="Calibri"/>
          <w:sz w:val="22"/>
          <w:szCs w:val="22"/>
        </w:rPr>
        <w:t xml:space="preserve">řádné a včasné dodávky </w:t>
      </w:r>
      <w:r w:rsidR="00594734" w:rsidRPr="00EA752A">
        <w:rPr>
          <w:rFonts w:ascii="Calibri" w:hAnsi="Calibri" w:cs="Calibri"/>
          <w:sz w:val="22"/>
          <w:szCs w:val="22"/>
        </w:rPr>
        <w:t>v souladu s nabídkou prodávajícího podanou v rámci zadávacího řízení veřejné zakázky s názvem „</w:t>
      </w:r>
      <w:r w:rsidR="00EA752A" w:rsidRPr="00EA752A">
        <w:rPr>
          <w:rFonts w:ascii="Calibri" w:hAnsi="Calibri" w:cs="Calibri"/>
          <w:b/>
          <w:bCs/>
          <w:sz w:val="22"/>
          <w:szCs w:val="22"/>
        </w:rPr>
        <w:t>Dodávky obvazů a obinadel</w:t>
      </w:r>
      <w:r w:rsidR="00594734" w:rsidRPr="00EA752A">
        <w:rPr>
          <w:rFonts w:ascii="Calibri" w:hAnsi="Calibri" w:cs="Calibri"/>
          <w:b/>
          <w:bCs/>
          <w:sz w:val="22"/>
          <w:szCs w:val="22"/>
        </w:rPr>
        <w:t>“</w:t>
      </w:r>
      <w:r w:rsidR="00EA752A" w:rsidRPr="00EA752A">
        <w:rPr>
          <w:rFonts w:ascii="Calibri" w:hAnsi="Calibri" w:cs="Calibri"/>
          <w:b/>
          <w:bCs/>
          <w:sz w:val="22"/>
          <w:szCs w:val="22"/>
        </w:rPr>
        <w:t xml:space="preserve"> – </w:t>
      </w:r>
      <w:r w:rsidR="00EA752A" w:rsidRPr="00EA752A">
        <w:rPr>
          <w:rFonts w:ascii="Calibri" w:hAnsi="Calibri" w:cs="Calibri"/>
          <w:b/>
          <w:bCs/>
          <w:sz w:val="22"/>
          <w:szCs w:val="22"/>
          <w:highlight w:val="lightGray"/>
        </w:rPr>
        <w:t>Část 1-11 (doplní účastník)</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7777777"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rámcové dohody</w:t>
      </w:r>
    </w:p>
    <w:p w14:paraId="7FD48C0C" w14:textId="41B9448F" w:rsidR="00A76A04" w:rsidRPr="00EF0DCB" w:rsidRDefault="00A76A04" w:rsidP="0092168C">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BA036C" w:rsidRPr="0031311D">
        <w:rPr>
          <w:rFonts w:ascii="Calibri" w:hAnsi="Calibri" w:cs="Calibri"/>
          <w:sz w:val="22"/>
          <w:szCs w:val="22"/>
        </w:rPr>
        <w:t>dohody</w:t>
      </w:r>
      <w:r w:rsidRPr="0031311D">
        <w:rPr>
          <w:rFonts w:ascii="Calibri" w:hAnsi="Calibri" w:cs="Calibri"/>
          <w:sz w:val="22"/>
          <w:szCs w:val="22"/>
        </w:rPr>
        <w:t xml:space="preserve"> upravují touto </w:t>
      </w:r>
      <w:r w:rsidR="00BA036C" w:rsidRPr="0031311D">
        <w:rPr>
          <w:rFonts w:ascii="Calibri" w:hAnsi="Calibri" w:cs="Calibri"/>
          <w:sz w:val="22"/>
          <w:szCs w:val="22"/>
        </w:rPr>
        <w:t>rámcovou dohodou</w:t>
      </w:r>
      <w:r w:rsidRPr="0031311D">
        <w:rPr>
          <w:rFonts w:ascii="Calibri" w:hAnsi="Calibri" w:cs="Calibri"/>
          <w:sz w:val="22"/>
          <w:szCs w:val="22"/>
        </w:rPr>
        <w:t xml:space="preserve"> vzájemné závazkové vztahy, vznikající při uskutečňování jednotlivých dodávek </w:t>
      </w:r>
      <w:r w:rsidR="009D3C98" w:rsidRPr="0031311D">
        <w:rPr>
          <w:rFonts w:ascii="Calibri" w:hAnsi="Calibri" w:cs="Calibri"/>
          <w:sz w:val="22"/>
          <w:szCs w:val="22"/>
        </w:rPr>
        <w:t>zboží</w:t>
      </w:r>
      <w:r w:rsidR="00BF1AC0" w:rsidRPr="00EF0DCB">
        <w:rPr>
          <w:rFonts w:ascii="Calibri" w:hAnsi="Calibri" w:cs="Calibri"/>
          <w:sz w:val="22"/>
          <w:szCs w:val="22"/>
        </w:rPr>
        <w:t>.</w:t>
      </w:r>
    </w:p>
    <w:p w14:paraId="227F6BD2" w14:textId="4DFE2712"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rámcové dohody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rámcové dohody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rámcové dohodě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F387652"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objednávek vystavených kupujícím. Uzavřením této rámcové dohody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dohoda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dohody.</w:t>
      </w:r>
    </w:p>
    <w:p w14:paraId="28F143A6" w14:textId="0C63DE39"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 xml:space="preserve">přes transakční server společnosti </w:t>
      </w:r>
      <w:proofErr w:type="spellStart"/>
      <w:r w:rsidR="007E7BB2" w:rsidRPr="0031311D">
        <w:rPr>
          <w:rFonts w:ascii="Calibri" w:hAnsi="Calibri" w:cs="Calibri"/>
          <w:sz w:val="22"/>
          <w:szCs w:val="22"/>
        </w:rPr>
        <w:t>NemLog</w:t>
      </w:r>
      <w:proofErr w:type="spellEnd"/>
      <w:r w:rsidR="007E7BB2" w:rsidRPr="0031311D">
        <w:rPr>
          <w:rFonts w:ascii="Calibri" w:hAnsi="Calibri" w:cs="Calibri"/>
          <w:sz w:val="22"/>
          <w:szCs w:val="22"/>
        </w:rPr>
        <w:t xml:space="preserve"> a.s.</w:t>
      </w:r>
      <w:r w:rsidR="006110F8" w:rsidRPr="0031311D">
        <w:rPr>
          <w:rFonts w:ascii="Calibri" w:hAnsi="Calibri" w:cs="Calibri"/>
          <w:sz w:val="22"/>
          <w:szCs w:val="22"/>
        </w:rPr>
        <w:t xml:space="preserve"> nebo prostřednictvím webového rozhraní (</w:t>
      </w:r>
      <w:proofErr w:type="gramStart"/>
      <w:r w:rsidR="006110F8" w:rsidRPr="0031311D">
        <w:rPr>
          <w:rFonts w:ascii="Calibri" w:hAnsi="Calibri" w:cs="Calibri"/>
          <w:sz w:val="22"/>
          <w:szCs w:val="22"/>
        </w:rPr>
        <w:t>e</w:t>
      </w:r>
      <w:r w:rsidR="006110F8">
        <w:rPr>
          <w:rFonts w:ascii="Calibri" w:hAnsi="Calibri" w:cs="Calibri"/>
          <w:sz w:val="22"/>
          <w:szCs w:val="22"/>
        </w:rPr>
        <w:t>shop</w:t>
      </w:r>
      <w:proofErr w:type="gramEnd"/>
      <w:r w:rsidR="006110F8">
        <w:rPr>
          <w:rFonts w:ascii="Calibri" w:hAnsi="Calibri" w:cs="Calibri"/>
          <w:sz w:val="22"/>
          <w:szCs w:val="22"/>
        </w:rPr>
        <w:t xml:space="preserve">) </w:t>
      </w:r>
      <w:r>
        <w:rPr>
          <w:rFonts w:ascii="Calibri" w:hAnsi="Calibri" w:cs="Calibri"/>
          <w:sz w:val="22"/>
          <w:szCs w:val="22"/>
        </w:rPr>
        <w:t xml:space="preserve">provozovaným společností </w:t>
      </w:r>
      <w:proofErr w:type="spellStart"/>
      <w:r w:rsidRPr="006110F8">
        <w:rPr>
          <w:rFonts w:ascii="Calibri" w:hAnsi="Calibri" w:cs="Calibri"/>
          <w:sz w:val="22"/>
          <w:szCs w:val="22"/>
        </w:rPr>
        <w:t>NemLog</w:t>
      </w:r>
      <w:proofErr w:type="spellEnd"/>
      <w:r w:rsidRPr="006110F8">
        <w:rPr>
          <w:rFonts w:ascii="Calibri" w:hAnsi="Calibri" w:cs="Calibri"/>
          <w:sz w:val="22"/>
          <w:szCs w:val="22"/>
        </w:rPr>
        <w:t xml:space="preserve">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4242B8C3" w:rsidR="006110F8" w:rsidRPr="006110F8"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w:t>
      </w:r>
      <w:r w:rsidR="003761CE">
        <w:rPr>
          <w:rFonts w:ascii="Calibri" w:hAnsi="Calibri" w:cs="Calibri"/>
          <w:sz w:val="22"/>
          <w:szCs w:val="22"/>
        </w:rPr>
        <w:t>u.</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6C3E4000"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dohody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proofErr w:type="gramStart"/>
      <w:r w:rsidR="00FC6E8B" w:rsidRPr="00D2440F">
        <w:rPr>
          <w:rFonts w:ascii="Calibri" w:hAnsi="Calibri" w:cs="Calibri"/>
          <w:sz w:val="22"/>
          <w:szCs w:val="22"/>
          <w:highlight w:val="lightGray"/>
        </w:rPr>
        <w:t>…….</w:t>
      </w:r>
      <w:proofErr w:type="gramEnd"/>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50B06260"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uvedené v čl. II. této dohody</w:t>
      </w:r>
      <w:r w:rsidR="00C272C2" w:rsidRPr="00EF0DCB">
        <w:rPr>
          <w:rFonts w:ascii="Calibri" w:hAnsi="Calibri" w:cs="Calibri"/>
          <w:sz w:val="22"/>
          <w:szCs w:val="22"/>
        </w:rPr>
        <w:t>.</w:t>
      </w:r>
    </w:p>
    <w:p w14:paraId="344F751D" w14:textId="323F0924"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EA752A">
        <w:rPr>
          <w:rFonts w:ascii="Calibri" w:hAnsi="Calibri"/>
          <w:sz w:val="22"/>
        </w:rPr>
        <w:t>24</w:t>
      </w:r>
      <w:r w:rsidR="00FA33AD" w:rsidRPr="00FA33AD">
        <w:rPr>
          <w:rFonts w:ascii="Calibri" w:hAnsi="Calibri"/>
          <w:sz w:val="22"/>
        </w:rPr>
        <w:t xml:space="preserve">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77777777"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rámcová dohoda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45BBC0DE"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rámcové dohody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77777777"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dohody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w:t>
      </w:r>
      <w:r>
        <w:rPr>
          <w:rFonts w:ascii="Calibri" w:hAnsi="Calibri" w:cs="Calibri"/>
          <w:sz w:val="22"/>
          <w:szCs w:val="22"/>
        </w:rPr>
        <w:lastRenderedPageBreak/>
        <w:t xml:space="preserve">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77777777"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rámcové dohody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F53A0B5" w:rsidR="00F14310" w:rsidRPr="003761CE" w:rsidRDefault="002D218C" w:rsidP="003761CE">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1A520F8B"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3761CE"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0EAEB3D4"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 xml:space="preserve">Ing. </w:t>
      </w:r>
      <w:r w:rsidR="00EA752A">
        <w:rPr>
          <w:rFonts w:ascii="Calibri" w:hAnsi="Calibri" w:cs="Calibri"/>
          <w:b/>
          <w:snapToGrid w:val="0"/>
          <w:sz w:val="22"/>
          <w:szCs w:val="22"/>
        </w:rPr>
        <w:t>Helena Kocmanová, MBA</w:t>
      </w:r>
    </w:p>
    <w:p w14:paraId="65172E86" w14:textId="1D3C4C36"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00EA752A" w:rsidRPr="00792D2A">
          <w:rPr>
            <w:rStyle w:val="Hypertextovodkaz"/>
            <w:rFonts w:ascii="Calibri" w:hAnsi="Calibri" w:cs="Calibri"/>
            <w:snapToGrid w:val="0"/>
            <w:sz w:val="22"/>
            <w:szCs w:val="22"/>
          </w:rPr>
          <w:t>helena.kocmanova@nemcl.cz</w:t>
        </w:r>
      </w:hyperlink>
    </w:p>
    <w:p w14:paraId="69987EFD" w14:textId="2E00DE7F"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w:t>
      </w:r>
      <w:r w:rsidR="00EA752A" w:rsidRPr="00EA752A">
        <w:rPr>
          <w:rFonts w:ascii="Calibri" w:hAnsi="Calibri" w:cs="Calibri"/>
          <w:snapToGrid w:val="0"/>
          <w:sz w:val="22"/>
          <w:szCs w:val="22"/>
        </w:rPr>
        <w:t>737 355 969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 …..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w:t>
      </w:r>
      <w:proofErr w:type="spellStart"/>
      <w:r w:rsidR="000B7504">
        <w:rPr>
          <w:rFonts w:ascii="Calibri" w:hAnsi="Calibri" w:cs="Calibri"/>
          <w:sz w:val="22"/>
          <w:szCs w:val="22"/>
        </w:rPr>
        <w:t>ii</w:t>
      </w:r>
      <w:proofErr w:type="spellEnd"/>
      <w:r w:rsidR="000B7504">
        <w:rPr>
          <w:rFonts w:ascii="Calibri" w:hAnsi="Calibri" w:cs="Calibri"/>
          <w:sz w:val="22"/>
          <w:szCs w:val="22"/>
        </w:rPr>
        <w:t>)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09C728B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dohody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lastRenderedPageBreak/>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77777777"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9F6CF6" w:rsidRPr="00EF0DCB">
        <w:rPr>
          <w:rFonts w:ascii="Calibri" w:hAnsi="Calibri" w:cs="Calibri"/>
          <w:sz w:val="22"/>
          <w:szCs w:val="22"/>
        </w:rPr>
        <w:t>dohody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77777777"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rámcové dohody</w:t>
      </w:r>
    </w:p>
    <w:p w14:paraId="59ABE9D2" w14:textId="6D792EB7"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dohoda se uzavírá na dobu </w:t>
      </w:r>
      <w:r w:rsidR="00EA752A">
        <w:rPr>
          <w:rFonts w:ascii="Calibri" w:hAnsi="Calibri" w:cs="Calibri"/>
          <w:sz w:val="22"/>
          <w:szCs w:val="22"/>
        </w:rPr>
        <w:t>24</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77777777"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Rámcová dohoda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77777777"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má právo </w:t>
      </w:r>
      <w:r w:rsidR="006C3BA3" w:rsidRPr="00EF0DCB">
        <w:rPr>
          <w:rFonts w:ascii="Calibri" w:hAnsi="Calibri" w:cs="Calibri"/>
          <w:sz w:val="22"/>
          <w:szCs w:val="22"/>
        </w:rPr>
        <w:t xml:space="preserve">tuto </w:t>
      </w:r>
      <w:r w:rsidR="00294C95" w:rsidRPr="00EF0DCB">
        <w:rPr>
          <w:rFonts w:ascii="Calibri" w:hAnsi="Calibri" w:cs="Calibri"/>
          <w:sz w:val="22"/>
          <w:szCs w:val="22"/>
        </w:rPr>
        <w:t xml:space="preserve">dohodu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dohody.   </w:t>
      </w:r>
    </w:p>
    <w:p w14:paraId="651AD355" w14:textId="77777777"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dohody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dohody. Za podstatné porušení </w:t>
      </w:r>
      <w:r w:rsidR="005B2E60" w:rsidRPr="00EF0DCB">
        <w:rPr>
          <w:rFonts w:ascii="Calibri" w:hAnsi="Calibri" w:cs="Calibri"/>
          <w:sz w:val="22"/>
          <w:szCs w:val="22"/>
        </w:rPr>
        <w:t>rámcové dohody</w:t>
      </w:r>
      <w:r w:rsidRPr="00EF0DCB">
        <w:rPr>
          <w:rFonts w:ascii="Calibri" w:hAnsi="Calibri" w:cs="Calibri"/>
          <w:sz w:val="22"/>
          <w:szCs w:val="22"/>
        </w:rPr>
        <w:t xml:space="preserve"> se zejména považuje:</w:t>
      </w:r>
    </w:p>
    <w:p w14:paraId="512A602F" w14:textId="77777777"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dohody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Před odstoupením od rámcové dohody je prodávající povinen kupujícího písemně upozornit na možnost uplatnění tohoto oprávnění alespoň 15 dnů přede dnem uplatnění práva na odstoupení od rámcové dohody.</w:t>
      </w:r>
    </w:p>
    <w:p w14:paraId="61B8D206" w14:textId="7B9E114E"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dohody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dohody,</w:t>
      </w:r>
      <w:r w:rsidRPr="00EF0DCB">
        <w:rPr>
          <w:rFonts w:ascii="Calibri" w:hAnsi="Calibri" w:cs="Calibri"/>
          <w:sz w:val="22"/>
          <w:szCs w:val="22"/>
        </w:rPr>
        <w:t xml:space="preserve"> a nezjedná nápravu </w:t>
      </w:r>
      <w:r w:rsidR="003E574F" w:rsidRPr="00EF0DCB">
        <w:rPr>
          <w:rFonts w:ascii="Calibri" w:hAnsi="Calibri" w:cs="Calibri"/>
          <w:sz w:val="22"/>
          <w:szCs w:val="22"/>
        </w:rPr>
        <w:t>ve lhůtě stanovené v této rámcové dohodě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77777777"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lastRenderedPageBreak/>
        <w:t>Účinky odstoupení od rámcové dohody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55A8F150"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dohody, pak má právo uzavřít rámcovou dohodu na plnění předmětu s dodavatelem, který se v zadávacím řízení veřejné zakázky uvedené v čl. II. této rámcové dohody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odpisu rámcové dohody ze strany druhého, případně třetího, dodavatele, započne v plnění předmětu rámcové dohody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rámcové dohody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dohody souhlasí s uveřejněním této dohody v plném znění, včetně příloh, které jsou její součástí, v registru smluv. </w:t>
      </w:r>
    </w:p>
    <w:p w14:paraId="646325AF"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dohody,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rámcové dohody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dohody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plnění předmětu a podmínek této rámcové dohody.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rámcové dohody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dohody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lastRenderedPageBreak/>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0E32DCE4"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se vyhotovuje ve dvou stejnopisech s platností originálu, z nichž každá </w:t>
      </w:r>
      <w:r w:rsidR="00A81FB2" w:rsidRPr="00EF0DCB">
        <w:rPr>
          <w:rFonts w:ascii="Calibri" w:hAnsi="Calibri" w:cs="Calibri"/>
          <w:color w:val="auto"/>
          <w:sz w:val="22"/>
          <w:szCs w:val="22"/>
        </w:rPr>
        <w:t>s</w:t>
      </w:r>
      <w:r w:rsidRPr="00EF0DCB">
        <w:rPr>
          <w:rFonts w:ascii="Calibri" w:hAnsi="Calibri" w:cs="Calibri"/>
          <w:color w:val="auto"/>
          <w:sz w:val="22"/>
          <w:szCs w:val="22"/>
        </w:rPr>
        <w:t>trana obdrží po jednom vyhotovení.</w:t>
      </w:r>
    </w:p>
    <w:p w14:paraId="0B5EB168"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w:t>
      </w:r>
    </w:p>
    <w:p w14:paraId="4AC895F5" w14:textId="77777777"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dohoda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92168C" w:rsidRPr="00EF0DCB">
        <w:rPr>
          <w:rFonts w:asciiTheme="minorHAnsi" w:hAnsiTheme="minorHAnsi" w:cstheme="minorHAnsi"/>
          <w:color w:val="auto"/>
          <w:sz w:val="22"/>
          <w:szCs w:val="22"/>
        </w:rPr>
        <w:t>dohody.</w:t>
      </w:r>
      <w:r w:rsidR="0044347F" w:rsidRPr="00EF0DCB">
        <w:rPr>
          <w:rFonts w:asciiTheme="minorHAnsi" w:hAnsiTheme="minorHAnsi" w:cstheme="minorHAnsi"/>
          <w:color w:val="auto"/>
          <w:sz w:val="22"/>
          <w:szCs w:val="22"/>
        </w:rPr>
        <w:t xml:space="preserve"> Prodávající prohlašuje, že skutečnosti uvedené v této rámcové dohodě nepovažuje za obchodní tajemství a uděluje svolení k jejich užití a zveřejnění bez stanovení jakýchkoliv dalších podmínek.</w:t>
      </w:r>
    </w:p>
    <w:p w14:paraId="0C2DB42B" w14:textId="77777777"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Strany shodně prohlašují, že tato </w:t>
      </w:r>
      <w:r w:rsidR="00A81FB2" w:rsidRPr="00EF0DCB">
        <w:rPr>
          <w:rFonts w:ascii="Calibri" w:hAnsi="Calibri" w:cs="Calibri"/>
          <w:color w:val="auto"/>
          <w:sz w:val="22"/>
          <w:szCs w:val="22"/>
        </w:rPr>
        <w:t>rámcová dohoda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4590EDBF"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rámcové dohody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A81FB2" w:rsidRPr="00EF0DCB">
        <w:rPr>
          <w:rFonts w:ascii="Calibri" w:hAnsi="Calibri" w:cs="Calibri"/>
          <w:color w:val="auto"/>
          <w:sz w:val="22"/>
          <w:szCs w:val="22"/>
          <w:lang w:eastAsia="en-US"/>
        </w:rPr>
        <w:lastRenderedPageBreak/>
        <w:t>dohody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22E0B39E" w14:textId="1D4DB05F"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č.2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009614F9">
        <w:rPr>
          <w:rFonts w:ascii="Calibri" w:hAnsi="Calibri" w:cs="Calibri"/>
          <w:color w:val="auto"/>
          <w:sz w:val="22"/>
          <w:szCs w:val="22"/>
        </w:rPr>
        <w:t>Specifikace technických parametrů</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3</w:t>
      </w:r>
      <w:r w:rsidRPr="005B7889">
        <w:rPr>
          <w:rFonts w:ascii="Calibri" w:hAnsi="Calibri" w:cs="Calibri"/>
          <w:color w:val="FF0000"/>
          <w:sz w:val="22"/>
          <w:szCs w:val="22"/>
        </w:rPr>
        <w:t xml:space="preserve"> ZP, který byl součástí nabídky účastníka zadávacího řízení)</w:t>
      </w:r>
    </w:p>
    <w:p w14:paraId="21577B22" w14:textId="4F9DF46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č.3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0570C6">
        <w:rPr>
          <w:rFonts w:ascii="Calibri" w:hAnsi="Calibri" w:cs="Calibri"/>
          <w:bCs/>
          <w:color w:val="auto"/>
          <w:sz w:val="22"/>
          <w:szCs w:val="22"/>
        </w:rPr>
        <w:t>Seznam poddodavatelů</w:t>
      </w:r>
      <w:r>
        <w:rPr>
          <w:rFonts w:ascii="Calibri" w:hAnsi="Calibri" w:cs="Calibri"/>
          <w:bCs/>
          <w:color w:val="auto"/>
          <w:sz w:val="22"/>
          <w:szCs w:val="22"/>
        </w:rPr>
        <w:t xml:space="preserve"> </w:t>
      </w:r>
      <w:r w:rsidRPr="000570C6">
        <w:rPr>
          <w:rFonts w:ascii="Calibri" w:hAnsi="Calibri" w:cs="Calibri"/>
          <w:color w:val="FF0000"/>
          <w:sz w:val="22"/>
          <w:szCs w:val="22"/>
        </w:rPr>
        <w:t>(není součástí nabídky účastníka zadávacího řízení – pouze v případě, že bude předmět zakázky plněn prostřednictvím poddodavatelů</w:t>
      </w:r>
      <w:r w:rsidRPr="005B7889">
        <w:rPr>
          <w:rFonts w:ascii="Calibri" w:hAnsi="Calibri" w:cs="Calibri"/>
          <w:color w:val="FF0000"/>
          <w:sz w:val="22"/>
          <w:szCs w:val="22"/>
        </w:rPr>
        <w:t>)</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1752A8B4"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B93532">
        <w:rPr>
          <w:rFonts w:ascii="Calibri" w:hAnsi="Calibri" w:cs="Calibri"/>
          <w:sz w:val="22"/>
          <w:szCs w:val="22"/>
        </w:rPr>
        <w:t>, předseda představenstva</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2CF3"/>
    <w:rsid w:val="000F305D"/>
    <w:rsid w:val="000F4141"/>
    <w:rsid w:val="000F459D"/>
    <w:rsid w:val="000F59BE"/>
    <w:rsid w:val="00101976"/>
    <w:rsid w:val="001048C3"/>
    <w:rsid w:val="0010534E"/>
    <w:rsid w:val="00106997"/>
    <w:rsid w:val="0011228F"/>
    <w:rsid w:val="001212A3"/>
    <w:rsid w:val="00123AAF"/>
    <w:rsid w:val="00126A76"/>
    <w:rsid w:val="00131A1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E364A"/>
    <w:rsid w:val="001F222A"/>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56E1"/>
    <w:rsid w:val="00265967"/>
    <w:rsid w:val="00283D92"/>
    <w:rsid w:val="00284339"/>
    <w:rsid w:val="00287D29"/>
    <w:rsid w:val="00290F56"/>
    <w:rsid w:val="00294C95"/>
    <w:rsid w:val="002A3968"/>
    <w:rsid w:val="002B1B47"/>
    <w:rsid w:val="002B453A"/>
    <w:rsid w:val="002B482F"/>
    <w:rsid w:val="002B4997"/>
    <w:rsid w:val="002B6B3A"/>
    <w:rsid w:val="002B6F49"/>
    <w:rsid w:val="002C1CD4"/>
    <w:rsid w:val="002C3ED3"/>
    <w:rsid w:val="002C5308"/>
    <w:rsid w:val="002D074D"/>
    <w:rsid w:val="002D20EE"/>
    <w:rsid w:val="002D218C"/>
    <w:rsid w:val="002D69CE"/>
    <w:rsid w:val="002D6B09"/>
    <w:rsid w:val="002D6BEB"/>
    <w:rsid w:val="002D7DED"/>
    <w:rsid w:val="002E1D87"/>
    <w:rsid w:val="002E2E0D"/>
    <w:rsid w:val="002F3E20"/>
    <w:rsid w:val="003010CE"/>
    <w:rsid w:val="00311151"/>
    <w:rsid w:val="0031311D"/>
    <w:rsid w:val="0031727C"/>
    <w:rsid w:val="003217A4"/>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B85"/>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54716"/>
    <w:rsid w:val="007574C0"/>
    <w:rsid w:val="00761722"/>
    <w:rsid w:val="0076184F"/>
    <w:rsid w:val="00763996"/>
    <w:rsid w:val="0077002B"/>
    <w:rsid w:val="00771763"/>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3B3C"/>
    <w:rsid w:val="00815891"/>
    <w:rsid w:val="00820553"/>
    <w:rsid w:val="00826F41"/>
    <w:rsid w:val="00827A45"/>
    <w:rsid w:val="00831422"/>
    <w:rsid w:val="0083405A"/>
    <w:rsid w:val="0084179D"/>
    <w:rsid w:val="00842EB8"/>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542C"/>
    <w:rsid w:val="00B45B3D"/>
    <w:rsid w:val="00B45F59"/>
    <w:rsid w:val="00B5040B"/>
    <w:rsid w:val="00B613CE"/>
    <w:rsid w:val="00B7278B"/>
    <w:rsid w:val="00B922B7"/>
    <w:rsid w:val="00B925C8"/>
    <w:rsid w:val="00B93532"/>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61703"/>
    <w:rsid w:val="00E646B8"/>
    <w:rsid w:val="00E66938"/>
    <w:rsid w:val="00E72197"/>
    <w:rsid w:val="00E723D9"/>
    <w:rsid w:val="00E72A91"/>
    <w:rsid w:val="00E758A5"/>
    <w:rsid w:val="00E77640"/>
    <w:rsid w:val="00E81B12"/>
    <w:rsid w:val="00E83597"/>
    <w:rsid w:val="00E904DF"/>
    <w:rsid w:val="00E91D3E"/>
    <w:rsid w:val="00E936F2"/>
    <w:rsid w:val="00EA752A"/>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87094"/>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ocman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2815</Words>
  <Characters>16412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2022-12-02T13:18:00Z</dcterms:created>
  <dcterms:modified xsi:type="dcterms:W3CDTF">2025-04-02T10:42:00Z</dcterms:modified>
</cp:coreProperties>
</file>