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70925A78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BE50CB">
        <w:rPr>
          <w:rFonts w:asciiTheme="minorHAnsi" w:hAnsiTheme="minorHAnsi" w:cstheme="minorHAnsi"/>
          <w:i/>
          <w:sz w:val="22"/>
          <w:szCs w:val="22"/>
        </w:rPr>
        <w:t>10</w:t>
      </w:r>
      <w:bookmarkStart w:id="0" w:name="_GoBack"/>
      <w:bookmarkEnd w:id="0"/>
      <w:r w:rsidR="00BE50CB" w:rsidRPr="00D6299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0AC58441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1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r w:rsidR="002B4528" w:rsidRPr="002B4528">
        <w:rPr>
          <w:rFonts w:ascii="Calibri" w:hAnsi="Calibri" w:cs="Calibri"/>
          <w:b/>
          <w:bCs/>
          <w:sz w:val="22"/>
          <w:szCs w:val="22"/>
        </w:rPr>
        <w:t>Nábytek pro výpravnu vstupního bloku Hranečník</w:t>
      </w:r>
      <w:r w:rsidRPr="007E2D74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1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obchodní společností, ve které veřejný funkcionář uvedený v ust.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CCAC9" w14:textId="77777777" w:rsidR="00F734C0" w:rsidRDefault="00F734C0">
      <w:r>
        <w:separator/>
      </w:r>
    </w:p>
  </w:endnote>
  <w:endnote w:type="continuationSeparator" w:id="0">
    <w:p w14:paraId="77411905" w14:textId="77777777" w:rsidR="00F734C0" w:rsidRDefault="00F7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20D07" w14:textId="77777777" w:rsidR="00F734C0" w:rsidRDefault="00F734C0">
      <w:r>
        <w:separator/>
      </w:r>
    </w:p>
  </w:footnote>
  <w:footnote w:type="continuationSeparator" w:id="0">
    <w:p w14:paraId="7A764B92" w14:textId="77777777" w:rsidR="00F734C0" w:rsidRDefault="00F734C0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4528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0115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65AA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50CB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15F04"/>
    <w:rsid w:val="00F21CAE"/>
    <w:rsid w:val="00F21DAD"/>
    <w:rsid w:val="00F24798"/>
    <w:rsid w:val="00F30BCC"/>
    <w:rsid w:val="00F34FFF"/>
    <w:rsid w:val="00F52C9A"/>
    <w:rsid w:val="00F544A1"/>
    <w:rsid w:val="00F734C0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Kubátková Hana, Ing.</cp:lastModifiedBy>
  <cp:revision>4</cp:revision>
  <cp:lastPrinted>1899-12-31T23:00:00Z</cp:lastPrinted>
  <dcterms:created xsi:type="dcterms:W3CDTF">2025-03-18T08:49:00Z</dcterms:created>
  <dcterms:modified xsi:type="dcterms:W3CDTF">2025-04-08T11:01:00Z</dcterms:modified>
</cp:coreProperties>
</file>