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59184D">
      <w:pPr>
        <w:spacing w:after="120" w:line="240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59184D" w:rsidRDefault="00115A2B" w:rsidP="0059184D">
      <w:pPr>
        <w:spacing w:after="120"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59184D">
        <w:rPr>
          <w:rFonts w:ascii="Arial" w:hAnsi="Arial" w:cs="Arial"/>
          <w:b/>
          <w:szCs w:val="24"/>
        </w:rPr>
        <w:t>SMLOUVA O DÍLO</w:t>
      </w:r>
    </w:p>
    <w:p w14:paraId="51300DA6" w14:textId="77777777" w:rsidR="00771372" w:rsidRPr="00375846" w:rsidRDefault="00115A2B" w:rsidP="0059184D">
      <w:pPr>
        <w:spacing w:after="12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7D00E0BF" w14:textId="0E9C778E" w:rsidR="004E39D2" w:rsidRPr="00375846" w:rsidRDefault="00115A2B" w:rsidP="0059184D">
      <w:pPr>
        <w:spacing w:after="120" w:line="240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130B88AC" w14:textId="20CB8CF0" w:rsidR="004E39D2" w:rsidRPr="00375846" w:rsidRDefault="004E39D2" w:rsidP="0059184D">
      <w:pPr>
        <w:spacing w:after="12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3C86F25F" w14:textId="5452A786" w:rsidR="00115A2B" w:rsidRPr="0059184D" w:rsidRDefault="004E39D2" w:rsidP="0059184D">
      <w:pPr>
        <w:spacing w:after="120"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9184D">
        <w:rPr>
          <w:rFonts w:ascii="Arial" w:hAnsi="Arial" w:cs="Arial"/>
          <w:b/>
          <w:sz w:val="18"/>
          <w:szCs w:val="18"/>
        </w:rPr>
        <w:t>„</w:t>
      </w:r>
      <w:r w:rsidR="0094253F" w:rsidRPr="0059184D">
        <w:rPr>
          <w:rFonts w:ascii="Arial" w:hAnsi="Arial" w:cs="Arial"/>
          <w:b/>
          <w:sz w:val="22"/>
          <w:szCs w:val="22"/>
        </w:rPr>
        <w:t>Obnova cyklopiktogramových koridorů Kyjov</w:t>
      </w:r>
      <w:r w:rsidRPr="0059184D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375846" w:rsidRDefault="00115A2B" w:rsidP="0059184D">
      <w:pPr>
        <w:spacing w:after="120"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7D6271CF" w14:textId="226B0DD9" w:rsidR="00115A2B" w:rsidRPr="00FA1D20" w:rsidRDefault="00115A2B" w:rsidP="00FA1D2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44B50058" w14:textId="77777777" w:rsidR="00115A2B" w:rsidRPr="00375846" w:rsidRDefault="00115A2B" w:rsidP="0059184D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59184D">
      <w:pPr>
        <w:tabs>
          <w:tab w:val="left" w:pos="2127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59184D">
      <w:pPr>
        <w:tabs>
          <w:tab w:val="left" w:pos="2127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4C051ECA" w:rsidR="00753140" w:rsidRPr="0059184D" w:rsidRDefault="00115A2B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9184D">
        <w:rPr>
          <w:rFonts w:ascii="Arial" w:hAnsi="Arial" w:cs="Arial"/>
          <w:sz w:val="18"/>
          <w:szCs w:val="18"/>
        </w:rPr>
        <w:t xml:space="preserve">Bankovní spojení: </w:t>
      </w:r>
      <w:r w:rsidR="0094253F" w:rsidRPr="0059184D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72123127" w:rsidR="00753140" w:rsidRPr="0059184D" w:rsidRDefault="00753140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9184D">
        <w:rPr>
          <w:rFonts w:ascii="Arial" w:hAnsi="Arial" w:cs="Arial"/>
          <w:sz w:val="18"/>
          <w:szCs w:val="18"/>
        </w:rPr>
        <w:t>Číslo účtu:</w:t>
      </w:r>
      <w:r w:rsidRPr="0059184D">
        <w:rPr>
          <w:rFonts w:ascii="Arial" w:hAnsi="Arial" w:cs="Arial"/>
          <w:sz w:val="18"/>
          <w:szCs w:val="18"/>
        </w:rPr>
        <w:tab/>
      </w:r>
      <w:r w:rsidRPr="0059184D">
        <w:rPr>
          <w:rFonts w:ascii="Arial" w:hAnsi="Arial" w:cs="Arial"/>
          <w:sz w:val="18"/>
          <w:szCs w:val="18"/>
        </w:rPr>
        <w:tab/>
      </w:r>
      <w:r w:rsidR="0094253F" w:rsidRPr="0059184D">
        <w:rPr>
          <w:rFonts w:ascii="Arial" w:hAnsi="Arial" w:cs="Arial"/>
          <w:sz w:val="18"/>
          <w:szCs w:val="18"/>
        </w:rPr>
        <w:t>1887430267/0100</w:t>
      </w:r>
    </w:p>
    <w:p w14:paraId="77E10B8B" w14:textId="77777777" w:rsidR="0094253F" w:rsidRPr="0094253F" w:rsidRDefault="00115A2B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9184D">
        <w:rPr>
          <w:rFonts w:ascii="Arial" w:hAnsi="Arial" w:cs="Arial"/>
          <w:sz w:val="18"/>
          <w:szCs w:val="18"/>
        </w:rPr>
        <w:t>Zastoupen</w:t>
      </w:r>
      <w:r w:rsidR="002D592D" w:rsidRPr="0059184D">
        <w:rPr>
          <w:rFonts w:ascii="Arial" w:hAnsi="Arial" w:cs="Arial"/>
          <w:sz w:val="18"/>
          <w:szCs w:val="18"/>
        </w:rPr>
        <w:t>ý</w:t>
      </w:r>
      <w:r w:rsidRPr="0059184D">
        <w:rPr>
          <w:rFonts w:ascii="Arial" w:hAnsi="Arial" w:cs="Arial"/>
          <w:sz w:val="18"/>
          <w:szCs w:val="18"/>
        </w:rPr>
        <w:t>:</w:t>
      </w:r>
      <w:r w:rsidR="0094253F">
        <w:rPr>
          <w:rFonts w:ascii="Arial" w:hAnsi="Arial" w:cs="Arial"/>
          <w:sz w:val="18"/>
          <w:szCs w:val="18"/>
        </w:rPr>
        <w:tab/>
      </w:r>
      <w:r w:rsidR="0094253F">
        <w:rPr>
          <w:rFonts w:ascii="Arial" w:hAnsi="Arial" w:cs="Arial"/>
          <w:sz w:val="18"/>
          <w:szCs w:val="18"/>
        </w:rPr>
        <w:tab/>
      </w:r>
      <w:r w:rsidR="0094253F" w:rsidRPr="0094253F">
        <w:rPr>
          <w:rFonts w:ascii="Arial" w:hAnsi="Arial" w:cs="Arial"/>
          <w:sz w:val="18"/>
          <w:szCs w:val="18"/>
        </w:rPr>
        <w:t>Romanem Pekárkem, vedoucím Odboru rozvoje města Městského úřadu Kyjov</w:t>
      </w:r>
    </w:p>
    <w:p w14:paraId="5E6F758B" w14:textId="0F84D068" w:rsidR="00B36B0E" w:rsidRDefault="0094253F" w:rsidP="0059184D">
      <w:pPr>
        <w:spacing w:line="240" w:lineRule="auto"/>
        <w:ind w:left="1416" w:firstLine="708"/>
        <w:jc w:val="both"/>
        <w:rPr>
          <w:rFonts w:ascii="Arial" w:hAnsi="Arial" w:cs="Arial"/>
          <w:sz w:val="18"/>
          <w:szCs w:val="18"/>
        </w:rPr>
      </w:pPr>
      <w:r w:rsidRPr="0094253F">
        <w:rPr>
          <w:rFonts w:ascii="Arial" w:hAnsi="Arial" w:cs="Arial"/>
          <w:sz w:val="18"/>
          <w:szCs w:val="18"/>
        </w:rPr>
        <w:t>v souladu s vnitřním předpisem Pravidla pro zadávání veřejných zakázek</w:t>
      </w:r>
    </w:p>
    <w:p w14:paraId="5CD4C54C" w14:textId="01F1B339" w:rsidR="00115A2B" w:rsidRPr="00375846" w:rsidRDefault="00B36B0E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94253F" w:rsidRPr="0094253F">
        <w:rPr>
          <w:rFonts w:ascii="Arial" w:hAnsi="Arial" w:cs="Arial"/>
          <w:sz w:val="18"/>
          <w:szCs w:val="18"/>
        </w:rPr>
        <w:t>Romanem Pekárkem, vedoucím Odboru rozvoje města</w:t>
      </w:r>
    </w:p>
    <w:p w14:paraId="69A1DD6F" w14:textId="77777777" w:rsidR="00115A2B" w:rsidRPr="00375846" w:rsidRDefault="002D592D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59184D">
      <w:pPr>
        <w:spacing w:line="240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59184D">
      <w:pPr>
        <w:spacing w:line="240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5918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59184D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59184D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2F93B86" w14:textId="37367310" w:rsidR="00C2604E" w:rsidRPr="0059184D" w:rsidRDefault="009C6A1C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7E6D3641" w14:textId="77777777" w:rsidR="00A121BA" w:rsidRPr="00375846" w:rsidRDefault="00A121BA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307548A1" w:rsidR="00A956D8" w:rsidRPr="00375846" w:rsidRDefault="00A956D8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Dílem se rozumí </w:t>
      </w:r>
      <w:r w:rsidR="000953CD" w:rsidRPr="000953CD">
        <w:rPr>
          <w:rFonts w:ascii="Arial" w:hAnsi="Arial" w:cs="Arial"/>
          <w:sz w:val="18"/>
          <w:szCs w:val="18"/>
        </w:rPr>
        <w:t>obnova cyklopiktogramových koridorů formou nástřiku vodorovného dopravního značení „Piktogramový koridor pro cyklisty" (č. V 20) v provedení plastického nástřiku.</w:t>
      </w:r>
      <w:r w:rsidR="0077137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(dále 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</w:p>
    <w:p w14:paraId="7ED86CBD" w14:textId="1BFE6AF4" w:rsidR="00BE6851" w:rsidRPr="00F25A5C" w:rsidRDefault="00BE6851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 xml:space="preserve">Zhotovitel bere na vědomí, že </w:t>
      </w:r>
      <w:r w:rsidR="00925512" w:rsidRPr="00F25A5C">
        <w:rPr>
          <w:rFonts w:ascii="Arial" w:hAnsi="Arial" w:cs="Arial"/>
          <w:sz w:val="18"/>
          <w:szCs w:val="18"/>
        </w:rPr>
        <w:t>v případě získání</w:t>
      </w:r>
      <w:r w:rsidRPr="00F25A5C">
        <w:rPr>
          <w:rFonts w:ascii="Arial" w:hAnsi="Arial" w:cs="Arial"/>
          <w:sz w:val="18"/>
          <w:szCs w:val="18"/>
        </w:rPr>
        <w:t xml:space="preserve"> finanční</w:t>
      </w:r>
      <w:r w:rsidR="00925512" w:rsidRPr="00F25A5C">
        <w:rPr>
          <w:rFonts w:ascii="Arial" w:hAnsi="Arial" w:cs="Arial"/>
          <w:sz w:val="18"/>
          <w:szCs w:val="18"/>
        </w:rPr>
        <w:t>ho</w:t>
      </w:r>
      <w:r w:rsidRPr="00F25A5C">
        <w:rPr>
          <w:rFonts w:ascii="Arial" w:hAnsi="Arial" w:cs="Arial"/>
          <w:sz w:val="18"/>
          <w:szCs w:val="18"/>
        </w:rPr>
        <w:t xml:space="preserve"> příspěv</w:t>
      </w:r>
      <w:r w:rsidR="00925512" w:rsidRPr="00F25A5C">
        <w:rPr>
          <w:rFonts w:ascii="Arial" w:hAnsi="Arial" w:cs="Arial"/>
          <w:sz w:val="18"/>
          <w:szCs w:val="18"/>
        </w:rPr>
        <w:t>ku</w:t>
      </w:r>
      <w:r w:rsidRPr="00F25A5C">
        <w:rPr>
          <w:rFonts w:ascii="Arial" w:hAnsi="Arial" w:cs="Arial"/>
          <w:sz w:val="18"/>
          <w:szCs w:val="18"/>
        </w:rPr>
        <w:t xml:space="preserve"> (dotace) z</w:t>
      </w:r>
      <w:r w:rsidR="00925512" w:rsidRPr="00F25A5C">
        <w:rPr>
          <w:rFonts w:ascii="Arial" w:hAnsi="Arial" w:cs="Arial"/>
          <w:sz w:val="18"/>
          <w:szCs w:val="18"/>
        </w:rPr>
        <w:t> Jihomoravského kraje</w:t>
      </w:r>
      <w:r w:rsidR="000D642F" w:rsidRPr="00F25A5C">
        <w:rPr>
          <w:rFonts w:ascii="Arial" w:hAnsi="Arial" w:cs="Arial"/>
          <w:sz w:val="18"/>
          <w:szCs w:val="18"/>
        </w:rPr>
        <w:t>.</w:t>
      </w:r>
      <w:r w:rsidRPr="00F25A5C">
        <w:rPr>
          <w:rFonts w:ascii="Arial" w:hAnsi="Arial" w:cs="Arial"/>
          <w:sz w:val="18"/>
          <w:szCs w:val="18"/>
        </w:rPr>
        <w:t xml:space="preserve">, </w:t>
      </w:r>
      <w:r w:rsidR="00A9534F" w:rsidRPr="00A9534F">
        <w:rPr>
          <w:rFonts w:ascii="Arial" w:hAnsi="Arial" w:cs="Arial"/>
          <w:sz w:val="18"/>
          <w:szCs w:val="18"/>
        </w:rPr>
        <w:t>Smlouva č. JMK094893/25/ORR</w:t>
      </w:r>
      <w:r w:rsidR="00A9534F">
        <w:rPr>
          <w:rFonts w:ascii="Arial" w:hAnsi="Arial" w:cs="Arial"/>
          <w:sz w:val="18"/>
          <w:szCs w:val="18"/>
        </w:rPr>
        <w:t>, bude objednatel a zhotovitel postupovat podle pravidel dotačního programu JMK.</w:t>
      </w:r>
    </w:p>
    <w:p w14:paraId="6DEB6BD1" w14:textId="0AE4C7C0" w:rsidR="0040234D" w:rsidRPr="00F25A5C" w:rsidRDefault="0040234D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>Zhotovitel bere na vědomí, že objednatel žádal na dílo o poskytnutí finančního příspěvku (dotace) z</w:t>
      </w:r>
      <w:r w:rsidR="00925512" w:rsidRPr="00F25A5C">
        <w:rPr>
          <w:rFonts w:ascii="Arial" w:hAnsi="Arial" w:cs="Arial"/>
          <w:sz w:val="18"/>
          <w:szCs w:val="18"/>
        </w:rPr>
        <w:t> prostředků Jihomoravského kraje v rámci dotačního programu Podpora rozvoje cyklistiky a cyklistické dopravy v Jihomoravském kraji v roce 2025</w:t>
      </w:r>
      <w:r w:rsidRPr="00F25A5C">
        <w:rPr>
          <w:rFonts w:ascii="Arial" w:hAnsi="Arial" w:cs="Arial"/>
          <w:sz w:val="18"/>
          <w:szCs w:val="18"/>
        </w:rPr>
        <w:t xml:space="preserve"> a že dílo bude realizováno pouze v případě, že bude poskytnutí finančního příspěvku schváleno a dotace bude poskytnuta. V případě, že dotace nebude poskytnuta, je objednatel odprávněn od smlouvy odstoupit.</w:t>
      </w:r>
    </w:p>
    <w:p w14:paraId="0B07E206" w14:textId="731FFF45" w:rsidR="004B438A" w:rsidRPr="00F25A5C" w:rsidRDefault="00A21232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9534F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A9534F">
        <w:rPr>
          <w:rFonts w:ascii="Arial" w:hAnsi="Arial" w:cs="Arial"/>
          <w:sz w:val="18"/>
          <w:szCs w:val="18"/>
        </w:rPr>
        <w:t>:</w:t>
      </w:r>
    </w:p>
    <w:p w14:paraId="0C6CAA7E" w14:textId="38CECBB9" w:rsidR="004B438A" w:rsidRPr="00F25A5C" w:rsidRDefault="004B438A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 xml:space="preserve">zajištění průběžné fotodokumentace prováděných prací a její </w:t>
      </w:r>
      <w:r w:rsidR="00A9534F" w:rsidRPr="00F25A5C">
        <w:rPr>
          <w:rFonts w:ascii="Arial" w:hAnsi="Arial" w:cs="Arial"/>
          <w:sz w:val="18"/>
          <w:szCs w:val="18"/>
        </w:rPr>
        <w:t xml:space="preserve">elektronické </w:t>
      </w:r>
      <w:r w:rsidRPr="00F25A5C">
        <w:rPr>
          <w:rFonts w:ascii="Arial" w:hAnsi="Arial" w:cs="Arial"/>
          <w:sz w:val="18"/>
          <w:szCs w:val="18"/>
        </w:rPr>
        <w:t>předání</w:t>
      </w:r>
      <w:r w:rsidR="00A9534F" w:rsidRPr="00F25A5C">
        <w:rPr>
          <w:rFonts w:ascii="Arial" w:hAnsi="Arial" w:cs="Arial"/>
          <w:sz w:val="18"/>
          <w:szCs w:val="18"/>
        </w:rPr>
        <w:t xml:space="preserve"> objednateli.</w:t>
      </w:r>
    </w:p>
    <w:p w14:paraId="764A6660" w14:textId="77777777" w:rsidR="004F7411" w:rsidRPr="00F25A5C" w:rsidRDefault="004F7411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>zajištění případného</w:t>
      </w:r>
      <w:r w:rsidR="005A697D" w:rsidRPr="00F25A5C">
        <w:rPr>
          <w:rFonts w:ascii="Arial" w:hAnsi="Arial" w:cs="Arial"/>
          <w:sz w:val="18"/>
          <w:szCs w:val="18"/>
        </w:rPr>
        <w:t xml:space="preserve"> přechodného</w:t>
      </w:r>
      <w:r w:rsidRPr="00F25A5C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F25A5C" w:rsidRDefault="004F7411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F25A5C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F25A5C" w:rsidRDefault="004F7411" w:rsidP="0059184D">
      <w:pPr>
        <w:numPr>
          <w:ilvl w:val="2"/>
          <w:numId w:val="29"/>
        </w:numPr>
        <w:spacing w:after="12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294BBCE" w14:textId="77777777" w:rsidR="004F7411" w:rsidRPr="00F25A5C" w:rsidRDefault="004F7411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7588285" w14:textId="5E5171BF" w:rsidR="004F7411" w:rsidRPr="00F25A5C" w:rsidRDefault="004F7411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 xml:space="preserve">důsledný průběžný i následný úklid všech prostor </w:t>
      </w:r>
      <w:r w:rsidR="00CF467F">
        <w:rPr>
          <w:rFonts w:ascii="Arial" w:hAnsi="Arial" w:cs="Arial"/>
          <w:sz w:val="18"/>
          <w:szCs w:val="18"/>
        </w:rPr>
        <w:t>provádení díla</w:t>
      </w:r>
      <w:r w:rsidRPr="00F25A5C">
        <w:rPr>
          <w:rFonts w:ascii="Arial" w:hAnsi="Arial" w:cs="Arial"/>
          <w:sz w:val="18"/>
          <w:szCs w:val="18"/>
        </w:rPr>
        <w:t xml:space="preserve"> a jeho okolí v průběhu i po dokončení </w:t>
      </w:r>
      <w:r w:rsidR="00CF467F">
        <w:rPr>
          <w:rFonts w:ascii="Arial" w:hAnsi="Arial" w:cs="Arial"/>
          <w:sz w:val="18"/>
          <w:szCs w:val="18"/>
        </w:rPr>
        <w:t>díla</w:t>
      </w:r>
      <w:r w:rsidRPr="00F25A5C">
        <w:rPr>
          <w:rFonts w:ascii="Arial" w:hAnsi="Arial" w:cs="Arial"/>
          <w:sz w:val="18"/>
          <w:szCs w:val="18"/>
        </w:rPr>
        <w:t>,</w:t>
      </w:r>
    </w:p>
    <w:p w14:paraId="414E19D6" w14:textId="77777777" w:rsidR="00771372" w:rsidRPr="00375846" w:rsidRDefault="00771372" w:rsidP="0059184D">
      <w:pPr>
        <w:spacing w:after="12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C48185A" w14:textId="0E826578" w:rsidR="00B207FE" w:rsidRPr="0059184D" w:rsidRDefault="004F07F8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4DB07A4" w14:textId="77777777" w:rsidR="002113C4" w:rsidRPr="00375846" w:rsidRDefault="002113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2DCAC7FE" w:rsidR="002113C4" w:rsidRPr="00375846" w:rsidRDefault="002113C4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prací, dodávek a služeb, které byly obsaženy v zadávacích podmínkách a změnou dojde k zúžení předmětu díla (méněpráce),</w:t>
      </w:r>
    </w:p>
    <w:p w14:paraId="73770D7F" w14:textId="576719FD" w:rsidR="002113C4" w:rsidRPr="00375846" w:rsidRDefault="002113C4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59184D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59184D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59184D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59184D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59184D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792BC23B" w14:textId="3BDAF6E3" w:rsidR="006504B6" w:rsidRPr="0059184D" w:rsidRDefault="006504B6" w:rsidP="0059184D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60D42D94" w14:textId="35CFC432" w:rsidR="002113C4" w:rsidRPr="00375846" w:rsidRDefault="00CF467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vyhotoví změnový list, ve kterém budou uvedeny důvody ke změně díla, jejich popis a jejich finanční vyčíslení. </w:t>
      </w:r>
      <w:r w:rsidR="002113C4"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287CDDBD" w:rsidR="00375846" w:rsidRDefault="00AA3DB3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>se seznámil s</w:t>
      </w:r>
      <w:r w:rsidR="00AE3013">
        <w:rPr>
          <w:rFonts w:ascii="Arial" w:hAnsi="Arial" w:cs="Arial"/>
          <w:sz w:val="18"/>
          <w:szCs w:val="18"/>
        </w:rPr>
        <w:t xml:space="preserve"> rozsahem </w:t>
      </w:r>
      <w:r w:rsidRPr="00375846">
        <w:rPr>
          <w:rFonts w:ascii="Arial" w:hAnsi="Arial" w:cs="Arial"/>
          <w:sz w:val="18"/>
          <w:szCs w:val="18"/>
        </w:rPr>
        <w:t xml:space="preserve">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AE3013">
        <w:rPr>
          <w:rFonts w:ascii="Arial" w:hAnsi="Arial" w:cs="Arial"/>
          <w:sz w:val="18"/>
          <w:szCs w:val="18"/>
        </w:rPr>
        <w:t>.</w:t>
      </w:r>
      <w:r w:rsidR="00427D10" w:rsidRPr="00375846">
        <w:rPr>
          <w:rFonts w:ascii="Arial" w:hAnsi="Arial" w:cs="Arial"/>
          <w:sz w:val="18"/>
          <w:szCs w:val="18"/>
        </w:rPr>
        <w:t xml:space="preserve"> </w:t>
      </w:r>
    </w:p>
    <w:p w14:paraId="59536C22" w14:textId="77777777" w:rsidR="0059184D" w:rsidRPr="0059184D" w:rsidRDefault="0059184D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E1BA408" w14:textId="225C1DD2" w:rsidR="004161D0" w:rsidRPr="0059184D" w:rsidRDefault="004F07F8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78EE1DEE" w14:textId="7FCCEA8B" w:rsidR="004E39D2" w:rsidRDefault="007E7979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  <w:r w:rsidR="002F43E3">
        <w:rPr>
          <w:rFonts w:ascii="Arial" w:hAnsi="Arial" w:cs="Arial"/>
          <w:sz w:val="18"/>
          <w:szCs w:val="18"/>
        </w:rPr>
        <w:t xml:space="preserve"> </w:t>
      </w:r>
      <w:r w:rsidR="00311681" w:rsidRPr="00B36B0E">
        <w:rPr>
          <w:rFonts w:ascii="Arial" w:hAnsi="Arial" w:cs="Arial"/>
          <w:sz w:val="18"/>
          <w:szCs w:val="18"/>
        </w:rPr>
        <w:t>staveniště (zahájení doby plnění):</w:t>
      </w:r>
      <w:r w:rsidR="00B67B19" w:rsidRPr="00B36B0E">
        <w:rPr>
          <w:rFonts w:ascii="Arial" w:hAnsi="Arial" w:cs="Arial"/>
          <w:sz w:val="18"/>
          <w:szCs w:val="18"/>
        </w:rPr>
        <w:t xml:space="preserve"> </w:t>
      </w:r>
      <w:r w:rsidR="0059184D">
        <w:rPr>
          <w:rFonts w:ascii="Arial" w:hAnsi="Arial" w:cs="Arial"/>
          <w:sz w:val="18"/>
          <w:szCs w:val="18"/>
        </w:rPr>
        <w:tab/>
      </w:r>
      <w:r w:rsidR="00CF3C88" w:rsidRPr="00B36B0E">
        <w:rPr>
          <w:rFonts w:ascii="Arial" w:hAnsi="Arial" w:cs="Arial"/>
          <w:sz w:val="18"/>
          <w:szCs w:val="18"/>
        </w:rPr>
        <w:t xml:space="preserve">do </w:t>
      </w:r>
      <w:r w:rsidR="00AE3013" w:rsidRPr="00F25A5C">
        <w:rPr>
          <w:rFonts w:ascii="Arial" w:hAnsi="Arial" w:cs="Arial"/>
          <w:b/>
          <w:sz w:val="18"/>
          <w:szCs w:val="18"/>
        </w:rPr>
        <w:t>7</w:t>
      </w:r>
      <w:r w:rsidR="00186F3B" w:rsidRPr="00F25A5C">
        <w:rPr>
          <w:rFonts w:ascii="Arial" w:hAnsi="Arial" w:cs="Arial"/>
          <w:b/>
          <w:sz w:val="18"/>
          <w:szCs w:val="18"/>
        </w:rPr>
        <w:t xml:space="preserve"> dní</w:t>
      </w:r>
      <w:r w:rsidR="00DD5985" w:rsidRPr="00B36B0E">
        <w:rPr>
          <w:rFonts w:ascii="Arial" w:hAnsi="Arial" w:cs="Arial"/>
          <w:sz w:val="18"/>
          <w:szCs w:val="18"/>
        </w:rPr>
        <w:t xml:space="preserve"> od </w:t>
      </w:r>
      <w:r w:rsidR="005468C9" w:rsidRPr="00F25A5C">
        <w:rPr>
          <w:rFonts w:ascii="Arial" w:hAnsi="Arial" w:cs="Arial"/>
          <w:sz w:val="18"/>
          <w:szCs w:val="18"/>
        </w:rPr>
        <w:t>doručení výzvy objednatele</w:t>
      </w:r>
      <w:r w:rsidR="00AE3013" w:rsidRPr="00F25A5C">
        <w:rPr>
          <w:rFonts w:ascii="Arial" w:hAnsi="Arial" w:cs="Arial"/>
          <w:sz w:val="18"/>
          <w:szCs w:val="18"/>
        </w:rPr>
        <w:t>.</w:t>
      </w:r>
    </w:p>
    <w:p w14:paraId="57BBC2F9" w14:textId="77777777" w:rsidR="00F8019A" w:rsidRPr="00B36B0E" w:rsidRDefault="00F8019A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C751363" w14:textId="349CD55C" w:rsidR="002113C4" w:rsidRPr="0059184D" w:rsidRDefault="007E7979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dokončení a protokolárního předání</w:t>
      </w:r>
      <w:r w:rsidR="002F43E3">
        <w:rPr>
          <w:rFonts w:ascii="Arial" w:hAnsi="Arial" w:cs="Arial"/>
          <w:sz w:val="18"/>
          <w:szCs w:val="18"/>
        </w:rPr>
        <w:t xml:space="preserve"> </w:t>
      </w:r>
      <w:bookmarkStart w:id="1" w:name="_GoBack"/>
      <w:bookmarkEnd w:id="1"/>
      <w:r w:rsidR="00311681" w:rsidRPr="00B36B0E">
        <w:rPr>
          <w:rFonts w:ascii="Arial" w:hAnsi="Arial" w:cs="Arial"/>
          <w:sz w:val="18"/>
          <w:szCs w:val="18"/>
        </w:rPr>
        <w:t>a převzetí díla</w:t>
      </w:r>
      <w:r w:rsidR="002113C4" w:rsidRPr="00B36B0E">
        <w:rPr>
          <w:rFonts w:ascii="Arial" w:hAnsi="Arial" w:cs="Arial"/>
          <w:sz w:val="18"/>
          <w:szCs w:val="18"/>
        </w:rPr>
        <w:t xml:space="preserve"> a odstranění zařízení</w:t>
      </w:r>
      <w:r w:rsidR="0059184D">
        <w:rPr>
          <w:rFonts w:ascii="Arial" w:hAnsi="Arial" w:cs="Arial"/>
          <w:sz w:val="18"/>
          <w:szCs w:val="18"/>
        </w:rPr>
        <w:t xml:space="preserve"> </w:t>
      </w:r>
      <w:r w:rsidR="002113C4" w:rsidRPr="00B36B0E">
        <w:rPr>
          <w:rFonts w:ascii="Arial" w:hAnsi="Arial" w:cs="Arial"/>
          <w:sz w:val="18"/>
          <w:szCs w:val="18"/>
        </w:rPr>
        <w:t>staveniště</w:t>
      </w:r>
      <w:r w:rsidRPr="00B36B0E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B36B0E">
        <w:rPr>
          <w:rFonts w:ascii="Arial" w:hAnsi="Arial" w:cs="Arial"/>
          <w:sz w:val="18"/>
          <w:szCs w:val="18"/>
        </w:rPr>
        <w:t>:</w:t>
      </w:r>
      <w:bookmarkEnd w:id="0"/>
      <w:r w:rsidR="00311681" w:rsidRPr="00B36B0E">
        <w:rPr>
          <w:rFonts w:ascii="Arial" w:hAnsi="Arial" w:cs="Arial"/>
          <w:sz w:val="18"/>
          <w:szCs w:val="18"/>
        </w:rPr>
        <w:t xml:space="preserve"> </w:t>
      </w:r>
      <w:r w:rsidR="0059184D">
        <w:rPr>
          <w:rFonts w:ascii="Arial" w:hAnsi="Arial" w:cs="Arial"/>
          <w:sz w:val="18"/>
          <w:szCs w:val="18"/>
        </w:rPr>
        <w:tab/>
      </w:r>
      <w:r w:rsidR="0059184D">
        <w:rPr>
          <w:rFonts w:ascii="Arial" w:hAnsi="Arial" w:cs="Arial"/>
          <w:sz w:val="18"/>
          <w:szCs w:val="18"/>
        </w:rPr>
        <w:tab/>
      </w:r>
      <w:r w:rsidR="0059184D">
        <w:rPr>
          <w:rFonts w:ascii="Arial" w:hAnsi="Arial" w:cs="Arial"/>
          <w:sz w:val="18"/>
          <w:szCs w:val="18"/>
        </w:rPr>
        <w:tab/>
      </w:r>
      <w:r w:rsidR="0059184D">
        <w:rPr>
          <w:rFonts w:ascii="Arial" w:hAnsi="Arial" w:cs="Arial"/>
          <w:sz w:val="18"/>
          <w:szCs w:val="18"/>
        </w:rPr>
        <w:tab/>
      </w:r>
      <w:r w:rsidR="0059184D">
        <w:rPr>
          <w:rFonts w:ascii="Arial" w:hAnsi="Arial" w:cs="Arial"/>
          <w:sz w:val="18"/>
          <w:szCs w:val="18"/>
        </w:rPr>
        <w:tab/>
      </w:r>
      <w:r w:rsidR="0059184D">
        <w:rPr>
          <w:rFonts w:ascii="Arial" w:hAnsi="Arial" w:cs="Arial"/>
          <w:sz w:val="18"/>
          <w:szCs w:val="18"/>
        </w:rPr>
        <w:tab/>
      </w:r>
      <w:r w:rsidR="0059184D">
        <w:rPr>
          <w:rFonts w:ascii="Arial" w:hAnsi="Arial" w:cs="Arial"/>
          <w:sz w:val="18"/>
          <w:szCs w:val="18"/>
        </w:rPr>
        <w:tab/>
      </w:r>
      <w:r w:rsidR="002F43E3">
        <w:rPr>
          <w:rFonts w:ascii="Arial" w:hAnsi="Arial" w:cs="Arial"/>
          <w:sz w:val="18"/>
          <w:szCs w:val="18"/>
        </w:rPr>
        <w:tab/>
      </w:r>
      <w:r w:rsidR="00CF3C88" w:rsidRPr="00B36B0E">
        <w:rPr>
          <w:rFonts w:ascii="Arial" w:hAnsi="Arial" w:cs="Arial"/>
          <w:sz w:val="18"/>
          <w:szCs w:val="18"/>
        </w:rPr>
        <w:t>do</w:t>
      </w:r>
      <w:r w:rsidR="002113C4" w:rsidRPr="00B36B0E">
        <w:rPr>
          <w:rFonts w:ascii="Arial" w:hAnsi="Arial" w:cs="Arial"/>
          <w:sz w:val="18"/>
          <w:szCs w:val="18"/>
        </w:rPr>
        <w:t xml:space="preserve"> </w:t>
      </w:r>
      <w:r w:rsidR="00AE3013" w:rsidRPr="00F25A5C">
        <w:rPr>
          <w:rFonts w:ascii="Arial" w:hAnsi="Arial" w:cs="Arial"/>
          <w:b/>
          <w:sz w:val="18"/>
          <w:szCs w:val="18"/>
        </w:rPr>
        <w:t>30</w:t>
      </w:r>
      <w:r w:rsidR="00186F3B" w:rsidRPr="00F25A5C">
        <w:rPr>
          <w:rFonts w:ascii="Arial" w:hAnsi="Arial" w:cs="Arial"/>
          <w:b/>
          <w:sz w:val="18"/>
          <w:szCs w:val="18"/>
        </w:rPr>
        <w:t xml:space="preserve"> dní</w:t>
      </w:r>
      <w:r w:rsidR="00186F3B" w:rsidRPr="00B36B0E">
        <w:rPr>
          <w:rFonts w:ascii="Arial" w:hAnsi="Arial" w:cs="Arial"/>
          <w:sz w:val="18"/>
          <w:szCs w:val="18"/>
        </w:rPr>
        <w:t xml:space="preserve"> od zahájení doby plnění</w:t>
      </w:r>
      <w:r w:rsidR="00AE3013">
        <w:rPr>
          <w:rFonts w:ascii="Arial" w:hAnsi="Arial" w:cs="Arial"/>
          <w:sz w:val="18"/>
          <w:szCs w:val="18"/>
        </w:rPr>
        <w:t>.</w:t>
      </w:r>
    </w:p>
    <w:p w14:paraId="12759CE0" w14:textId="77777777" w:rsidR="00311681" w:rsidRPr="00375846" w:rsidRDefault="00311681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6252239F" w:rsidR="009E4ADF" w:rsidRPr="00375846" w:rsidRDefault="009E4ADF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0F2A06">
        <w:rPr>
          <w:rFonts w:ascii="Arial" w:hAnsi="Arial" w:cs="Arial"/>
          <w:sz w:val="18"/>
          <w:szCs w:val="18"/>
        </w:rPr>
        <w:t>po odsouhlasení obou smluvních stran.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</w:p>
    <w:p w14:paraId="05570524" w14:textId="77777777" w:rsidR="00311681" w:rsidRPr="00375846" w:rsidRDefault="00311681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Objednatel je oprávněn převzít řádně zhotovené dílo i před termínem plnění.</w:t>
      </w:r>
    </w:p>
    <w:p w14:paraId="766CEEDF" w14:textId="0E6A841F" w:rsidR="008C24AF" w:rsidRPr="00375846" w:rsidRDefault="008C24A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</w:t>
      </w:r>
      <w:r w:rsidR="00D56865">
        <w:rPr>
          <w:rFonts w:ascii="Arial" w:hAnsi="Arial" w:cs="Arial"/>
          <w:sz w:val="18"/>
          <w:szCs w:val="18"/>
        </w:rPr>
        <w:t>k</w:t>
      </w:r>
      <w:r w:rsidRPr="00375846">
        <w:rPr>
          <w:rFonts w:ascii="Arial" w:hAnsi="Arial" w:cs="Arial"/>
          <w:sz w:val="18"/>
          <w:szCs w:val="18"/>
        </w:rPr>
        <w:t xml:space="preserve"> odsouhlasení podrobný harmonogram průběhu realiz</w:t>
      </w:r>
      <w:r w:rsidR="00D56865">
        <w:rPr>
          <w:rFonts w:ascii="Arial" w:hAnsi="Arial" w:cs="Arial"/>
          <w:sz w:val="18"/>
          <w:szCs w:val="18"/>
        </w:rPr>
        <w:t>ace nástřiku vodorovného dopravního značení po jednotlivých ulicích dle situačního výkresu.</w:t>
      </w:r>
      <w:r w:rsidRPr="00375846">
        <w:rPr>
          <w:rFonts w:ascii="Arial" w:hAnsi="Arial" w:cs="Arial"/>
          <w:sz w:val="18"/>
          <w:szCs w:val="18"/>
        </w:rPr>
        <w:t xml:space="preserve"> Harmonogram začíná termínem zahájení doby plnění a končí termínem předaní a převzetí díla</w:t>
      </w:r>
      <w:r w:rsidR="00D56865">
        <w:rPr>
          <w:rFonts w:ascii="Arial" w:hAnsi="Arial" w:cs="Arial"/>
          <w:sz w:val="18"/>
          <w:szCs w:val="18"/>
        </w:rPr>
        <w:t xml:space="preserve">. </w:t>
      </w:r>
      <w:r w:rsidRPr="00375846">
        <w:rPr>
          <w:rFonts w:ascii="Arial" w:hAnsi="Arial" w:cs="Arial"/>
          <w:sz w:val="18"/>
          <w:szCs w:val="18"/>
        </w:rPr>
        <w:t xml:space="preserve">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 xml:space="preserve">nformovat </w:t>
      </w:r>
      <w:r w:rsidR="00CF467F">
        <w:rPr>
          <w:rFonts w:ascii="Arial" w:hAnsi="Arial" w:cs="Arial"/>
          <w:sz w:val="18"/>
          <w:szCs w:val="18"/>
        </w:rPr>
        <w:t>objednatele</w:t>
      </w:r>
      <w:r w:rsidRPr="00375846">
        <w:rPr>
          <w:rFonts w:ascii="Arial" w:hAnsi="Arial" w:cs="Arial"/>
          <w:sz w:val="18"/>
          <w:szCs w:val="18"/>
        </w:rPr>
        <w:t xml:space="preserve"> s tím, že termín dokončení a předání díla je pro zhotovitele závazný.</w:t>
      </w:r>
    </w:p>
    <w:p w14:paraId="4C14D513" w14:textId="105EE51F" w:rsidR="00184694" w:rsidRPr="0059184D" w:rsidRDefault="00311681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je</w:t>
      </w:r>
      <w:r w:rsidR="00A35274" w:rsidRPr="00375846">
        <w:rPr>
          <w:rFonts w:ascii="Arial" w:hAnsi="Arial" w:cs="Arial"/>
          <w:sz w:val="18"/>
          <w:szCs w:val="18"/>
        </w:rPr>
        <w:t xml:space="preserve"> </w:t>
      </w:r>
      <w:r w:rsidR="00D56865" w:rsidRPr="00F25A5C">
        <w:rPr>
          <w:rFonts w:ascii="Arial" w:hAnsi="Arial" w:cs="Arial"/>
          <w:sz w:val="18"/>
          <w:szCs w:val="18"/>
        </w:rPr>
        <w:t>intravilán města Kyjov</w:t>
      </w:r>
      <w:r w:rsidR="006036DF" w:rsidRPr="00D56865">
        <w:rPr>
          <w:rFonts w:ascii="Arial" w:hAnsi="Arial" w:cs="Arial"/>
          <w:sz w:val="18"/>
          <w:szCs w:val="18"/>
        </w:rPr>
        <w:t>.</w:t>
      </w:r>
      <w:r w:rsidR="006036DF" w:rsidRPr="00375846">
        <w:rPr>
          <w:rFonts w:ascii="Arial" w:hAnsi="Arial" w:cs="Arial"/>
          <w:sz w:val="18"/>
          <w:szCs w:val="18"/>
        </w:rPr>
        <w:t xml:space="preserve"> </w:t>
      </w:r>
    </w:p>
    <w:p w14:paraId="23889A99" w14:textId="77777777" w:rsidR="0059184D" w:rsidRPr="00375846" w:rsidRDefault="0059184D" w:rsidP="0059184D">
      <w:pPr>
        <w:spacing w:after="120" w:line="240" w:lineRule="auto"/>
        <w:ind w:left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4EFBD9A4" w14:textId="5AAFB616" w:rsidR="006036DF" w:rsidRPr="0059184D" w:rsidRDefault="004F07F8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2ED942B8" w14:textId="77777777" w:rsidR="006036DF" w:rsidRPr="00375846" w:rsidRDefault="006036D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77777777" w:rsidR="006036DF" w:rsidRPr="00375846" w:rsidRDefault="006036DF" w:rsidP="0059184D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59184D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59184D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749EA033" w:rsidR="00DB2F8D" w:rsidRPr="00375846" w:rsidRDefault="006036DF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 xml:space="preserve">innosti uvedené v odst. </w:t>
      </w:r>
      <w:r w:rsidR="00D23B08" w:rsidRPr="0059184D">
        <w:rPr>
          <w:rFonts w:ascii="Arial" w:hAnsi="Arial" w:cs="Arial"/>
          <w:sz w:val="18"/>
          <w:szCs w:val="18"/>
        </w:rPr>
        <w:t>2.</w:t>
      </w:r>
      <w:r w:rsidR="00CF467F" w:rsidRPr="0059184D">
        <w:rPr>
          <w:rFonts w:ascii="Arial" w:hAnsi="Arial" w:cs="Arial"/>
          <w:sz w:val="18"/>
          <w:szCs w:val="18"/>
        </w:rPr>
        <w:t>5</w:t>
      </w:r>
      <w:r w:rsidR="00D23B08" w:rsidRPr="00375846">
        <w:rPr>
          <w:rFonts w:ascii="Arial" w:hAnsi="Arial" w:cs="Arial"/>
          <w:sz w:val="18"/>
          <w:szCs w:val="18"/>
        </w:rPr>
        <w:t>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42448FFB" w:rsidR="00375846" w:rsidRDefault="006036D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5B546560" w14:textId="77777777" w:rsidR="0059184D" w:rsidRPr="0059184D" w:rsidRDefault="0059184D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71AC892" w14:textId="1026B39F" w:rsidR="00B25F3C" w:rsidRPr="0059184D" w:rsidRDefault="004F07F8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298D382C" w14:textId="77777777" w:rsidR="00E7559C" w:rsidRPr="00375846" w:rsidRDefault="00E7559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4EB85E6B" w14:textId="77777777" w:rsidR="002113C4" w:rsidRPr="00375846" w:rsidRDefault="002113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6E9BEEE" w14:textId="60B20939" w:rsidR="00CD5EF9" w:rsidRPr="0059184D" w:rsidRDefault="00CD5EF9" w:rsidP="0059184D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4058DAEE" w14:textId="63FF8C4C" w:rsidR="00CD5EF9" w:rsidRPr="0059184D" w:rsidRDefault="00CD5EF9" w:rsidP="0059184D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01519C7A" w14:textId="443148C3" w:rsidR="003F428F" w:rsidRPr="003F428F" w:rsidRDefault="005F0F63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</w:t>
      </w:r>
      <w:r w:rsidR="00044AD7">
        <w:rPr>
          <w:rFonts w:ascii="Arial" w:hAnsi="Arial" w:cs="Arial"/>
          <w:sz w:val="18"/>
          <w:szCs w:val="18"/>
        </w:rPr>
        <w:t xml:space="preserve">zaslána elektronicky na </w:t>
      </w:r>
      <w:r w:rsidR="00044AD7" w:rsidRPr="00F25A5C">
        <w:rPr>
          <w:rFonts w:ascii="Arial" w:hAnsi="Arial" w:cs="Arial"/>
          <w:sz w:val="18"/>
          <w:szCs w:val="18"/>
        </w:rPr>
        <w:t xml:space="preserve">e-mail: </w:t>
      </w:r>
      <w:r w:rsidR="004F7D06" w:rsidRPr="00F25A5C">
        <w:rPr>
          <w:rFonts w:ascii="Arial" w:hAnsi="Arial" w:cs="Arial"/>
          <w:sz w:val="18"/>
          <w:szCs w:val="18"/>
        </w:rPr>
        <w:t>faktury@mukyjov.cz</w:t>
      </w:r>
      <w:r w:rsidR="00044AD7" w:rsidRPr="004F7D06">
        <w:rPr>
          <w:rFonts w:ascii="Arial" w:hAnsi="Arial" w:cs="Arial"/>
          <w:sz w:val="18"/>
          <w:szCs w:val="18"/>
        </w:rPr>
        <w:t>,</w:t>
      </w:r>
      <w:r w:rsidR="00044AD7">
        <w:rPr>
          <w:rFonts w:ascii="Arial" w:hAnsi="Arial" w:cs="Arial"/>
          <w:sz w:val="18"/>
          <w:szCs w:val="18"/>
        </w:rPr>
        <w:t xml:space="preserve"> případně </w:t>
      </w:r>
      <w:r w:rsidR="002113C4" w:rsidRPr="00375846">
        <w:rPr>
          <w:rFonts w:ascii="Arial" w:hAnsi="Arial" w:cs="Arial"/>
          <w:sz w:val="18"/>
          <w:szCs w:val="18"/>
        </w:rPr>
        <w:t>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</w:t>
      </w:r>
      <w:r w:rsidR="00044AD7">
        <w:rPr>
          <w:rFonts w:ascii="Arial" w:hAnsi="Arial" w:cs="Arial"/>
          <w:sz w:val="18"/>
          <w:szCs w:val="18"/>
        </w:rPr>
        <w:t xml:space="preserve"> jednom </w:t>
      </w:r>
      <w:r w:rsidR="002113C4" w:rsidRPr="00375846">
        <w:rPr>
          <w:rFonts w:ascii="Arial" w:hAnsi="Arial" w:cs="Arial"/>
          <w:sz w:val="18"/>
          <w:szCs w:val="18"/>
        </w:rPr>
        <w:t xml:space="preserve"> originál</w:t>
      </w:r>
      <w:r w:rsidR="00044AD7">
        <w:rPr>
          <w:rFonts w:ascii="Arial" w:hAnsi="Arial" w:cs="Arial"/>
          <w:sz w:val="18"/>
          <w:szCs w:val="18"/>
        </w:rPr>
        <w:t>u</w:t>
      </w:r>
      <w:r w:rsidR="002113C4" w:rsidRPr="00375846">
        <w:rPr>
          <w:rFonts w:ascii="Arial" w:hAnsi="Arial" w:cs="Arial"/>
          <w:sz w:val="18"/>
          <w:szCs w:val="18"/>
        </w:rPr>
        <w:t>, navýšené</w:t>
      </w:r>
      <w:r w:rsidR="00044AD7">
        <w:rPr>
          <w:rFonts w:ascii="Arial" w:hAnsi="Arial" w:cs="Arial"/>
          <w:sz w:val="18"/>
          <w:szCs w:val="18"/>
        </w:rPr>
        <w:t>m</w:t>
      </w:r>
      <w:r w:rsidR="002113C4" w:rsidRPr="00375846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F25A5C" w:rsidRDefault="002113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F25A5C">
        <w:rPr>
          <w:rFonts w:ascii="Arial" w:hAnsi="Arial" w:cs="Arial"/>
          <w:sz w:val="18"/>
          <w:szCs w:val="18"/>
        </w:rPr>
        <w:t>sobu zajištění daně dle § 109a</w:t>
      </w:r>
      <w:r w:rsidRPr="00F25A5C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F25A5C">
        <w:rPr>
          <w:rFonts w:ascii="Arial" w:hAnsi="Arial" w:cs="Arial"/>
          <w:sz w:val="18"/>
          <w:szCs w:val="18"/>
        </w:rPr>
        <w:t>o DPH</w:t>
      </w:r>
      <w:r w:rsidRPr="00F25A5C">
        <w:rPr>
          <w:rFonts w:ascii="Arial" w:hAnsi="Arial" w:cs="Arial"/>
          <w:sz w:val="18"/>
          <w:szCs w:val="18"/>
        </w:rPr>
        <w:t>.</w:t>
      </w:r>
    </w:p>
    <w:p w14:paraId="1B07EF62" w14:textId="08AB9FB1" w:rsidR="00375846" w:rsidRDefault="002113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3B1A04B8" w14:textId="77777777" w:rsidR="0059184D" w:rsidRPr="0059184D" w:rsidRDefault="0059184D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0D8781C" w14:textId="34E7E05C" w:rsidR="009A3856" w:rsidRPr="0059184D" w:rsidRDefault="009A3856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B84909B" w14:textId="582D865D" w:rsidR="009A3856" w:rsidRPr="00375846" w:rsidRDefault="009A3856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smlouvy:</w:t>
      </w:r>
    </w:p>
    <w:p w14:paraId="4C2AA324" w14:textId="77777777" w:rsidR="009A3856" w:rsidRPr="00375846" w:rsidRDefault="009A3856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08874AF5" w:rsidR="009A3856" w:rsidRPr="00375846" w:rsidRDefault="009A3856" w:rsidP="0059184D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4F7D06">
        <w:rPr>
          <w:rFonts w:ascii="Arial" w:hAnsi="Arial" w:cs="Arial"/>
          <w:sz w:val="18"/>
          <w:szCs w:val="18"/>
        </w:rPr>
        <w:t>.</w:t>
      </w:r>
    </w:p>
    <w:p w14:paraId="38D935A1" w14:textId="40740C19" w:rsidR="00375846" w:rsidRDefault="0005404F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F00E5C9" w14:textId="77777777" w:rsidR="0059184D" w:rsidRPr="0059184D" w:rsidRDefault="0059184D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45A98437" w:rsidR="005F0F63" w:rsidRPr="00375846" w:rsidRDefault="005F0F63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12B579BA" w:rsidR="005F0F63" w:rsidRPr="00375846" w:rsidRDefault="005F0F63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4F7D06" w:rsidRPr="00F25A5C">
        <w:rPr>
          <w:rFonts w:ascii="Arial" w:hAnsi="Arial" w:cs="Arial"/>
          <w:sz w:val="18"/>
          <w:szCs w:val="18"/>
        </w:rPr>
        <w:t>jednou</w:t>
      </w:r>
      <w:r w:rsidR="007A0AAF" w:rsidRPr="00F25A5C">
        <w:rPr>
          <w:rFonts w:ascii="Arial" w:hAnsi="Arial" w:cs="Arial"/>
          <w:sz w:val="18"/>
          <w:szCs w:val="18"/>
        </w:rPr>
        <w:t xml:space="preserve"> </w:t>
      </w:r>
      <w:r w:rsidRPr="00F25A5C">
        <w:rPr>
          <w:rFonts w:ascii="Arial" w:hAnsi="Arial" w:cs="Arial"/>
          <w:sz w:val="18"/>
          <w:szCs w:val="18"/>
        </w:rPr>
        <w:t>měsíčně</w:t>
      </w:r>
      <w:r w:rsidRPr="004F7D0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Objednatel je povinen oznámit konání kontrolního dne písemně </w:t>
      </w:r>
      <w:r w:rsidR="004F7D06">
        <w:rPr>
          <w:rFonts w:ascii="Arial" w:hAnsi="Arial" w:cs="Arial"/>
          <w:sz w:val="18"/>
          <w:szCs w:val="18"/>
        </w:rPr>
        <w:t xml:space="preserve">nebo elektronicky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1F816B7C" w14:textId="77777777" w:rsidR="005F3F18" w:rsidRPr="00375846" w:rsidRDefault="005F3F18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611B25EF" w14:textId="00E656AC" w:rsidR="005F0F63" w:rsidRPr="00375846" w:rsidRDefault="005F0F63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potřebami. Náklady na projekt, vybudování, zprovoznění, údržbu, likvidaci a vyklizení zařízení staveniště jsou zahrnuty ve sjednané ceně díla.</w:t>
      </w:r>
    </w:p>
    <w:p w14:paraId="1D17E7BD" w14:textId="77777777" w:rsidR="001A214A" w:rsidRPr="00375846" w:rsidRDefault="00B83422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0F97DCB7" w14:textId="0E1605B5" w:rsidR="0005404F" w:rsidRPr="00375846" w:rsidRDefault="005F0F63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1E31DE6C" w14:textId="017A7B6A" w:rsidR="00B64430" w:rsidRPr="00375846" w:rsidRDefault="00B64430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09310249" w:rsidR="00375846" w:rsidRDefault="00C0270E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. Zhotovitel bere na vědomí a souhlasí, že kontrola podle </w:t>
      </w:r>
      <w:r w:rsidRPr="00375846">
        <w:rPr>
          <w:rFonts w:ascii="Arial" w:hAnsi="Arial" w:cs="Arial"/>
          <w:sz w:val="18"/>
          <w:szCs w:val="18"/>
        </w:rPr>
        <w:lastRenderedPageBreak/>
        <w:t>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83158FA" w14:textId="77777777" w:rsidR="0059184D" w:rsidRPr="0059184D" w:rsidRDefault="0059184D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D6E120" w14:textId="5D155D61" w:rsidR="0053648A" w:rsidRPr="0059184D" w:rsidRDefault="004F07F8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7BA9BF2E" w14:textId="7156F379" w:rsidR="00997084" w:rsidRPr="0059184D" w:rsidRDefault="0053648A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3A184405" w14:textId="702A359D" w:rsidR="0061597E" w:rsidRPr="00375846" w:rsidRDefault="0061597E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0173E736" w14:textId="07C0F50A" w:rsidR="007B0454" w:rsidRPr="0059184D" w:rsidRDefault="00790B29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</w:t>
      </w:r>
      <w:r w:rsidR="00F25A5C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. </w:t>
      </w:r>
    </w:p>
    <w:p w14:paraId="5FF6BBC0" w14:textId="16BC98F5" w:rsidR="000F083B" w:rsidRPr="00375846" w:rsidRDefault="0053648A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63399FF8" w14:textId="7F46BE88" w:rsidR="0053648A" w:rsidRPr="00F25A5C" w:rsidRDefault="000B1E87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>F</w:t>
      </w:r>
      <w:r w:rsidR="00496511" w:rsidRPr="00F25A5C">
        <w:rPr>
          <w:rFonts w:ascii="Arial" w:hAnsi="Arial" w:cs="Arial"/>
          <w:sz w:val="18"/>
          <w:szCs w:val="18"/>
        </w:rPr>
        <w:t xml:space="preserve">otodokumentaci průběhu </w:t>
      </w:r>
      <w:r w:rsidR="00F25A5C">
        <w:rPr>
          <w:rFonts w:ascii="Arial" w:hAnsi="Arial" w:cs="Arial"/>
          <w:sz w:val="18"/>
          <w:szCs w:val="18"/>
        </w:rPr>
        <w:t>provádění díla</w:t>
      </w:r>
      <w:r w:rsidR="00E76E36" w:rsidRPr="00F25A5C">
        <w:rPr>
          <w:rFonts w:ascii="Arial" w:hAnsi="Arial" w:cs="Arial"/>
          <w:sz w:val="18"/>
          <w:szCs w:val="18"/>
        </w:rPr>
        <w:t>,</w:t>
      </w:r>
    </w:p>
    <w:p w14:paraId="34BACAAE" w14:textId="58086BCE" w:rsidR="00E76E36" w:rsidRPr="00F25A5C" w:rsidRDefault="00E76E36" w:rsidP="0059184D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25A5C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nejméně </w:t>
      </w:r>
      <w:r w:rsidR="00721E24" w:rsidRPr="00F25A5C">
        <w:rPr>
          <w:rFonts w:ascii="Arial" w:hAnsi="Arial" w:cs="Arial"/>
          <w:sz w:val="18"/>
          <w:szCs w:val="18"/>
        </w:rPr>
        <w:t>5</w:t>
      </w:r>
      <w:r w:rsidRPr="00F25A5C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68622BE" w14:textId="0311745C" w:rsidR="00F8019A" w:rsidRPr="0059184D" w:rsidRDefault="0053648A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3ED6DD89" w14:textId="64E24E8F" w:rsidR="00443AFA" w:rsidRPr="00375846" w:rsidRDefault="00443AFA" w:rsidP="0059184D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3FDAD9B" w14:textId="2DF07F86" w:rsidR="00F5109A" w:rsidRPr="00375846" w:rsidRDefault="00F5109A" w:rsidP="00FA1D20">
      <w:pPr>
        <w:widowControl/>
        <w:spacing w:after="12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05938FD" w14:textId="771380E4" w:rsidR="00BA6753" w:rsidRPr="0059184D" w:rsidRDefault="004F07F8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19EBF8C3" w14:textId="78E78CD1" w:rsidR="00BB0FCC" w:rsidRPr="00375846" w:rsidRDefault="00BB0FC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 xml:space="preserve">Zhotovitel poskytuje objednateli záruku, že dílo bude prosté jakýchkoliv vad, které brání užívání </w:t>
      </w:r>
      <w:r w:rsidR="00F25A5C">
        <w:rPr>
          <w:rFonts w:ascii="Arial" w:hAnsi="Arial" w:cs="Arial"/>
          <w:sz w:val="18"/>
          <w:szCs w:val="18"/>
        </w:rPr>
        <w:t>díla</w:t>
      </w:r>
      <w:r w:rsidR="00F25A5C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funkčně nebo esteticky, či užívání </w:t>
      </w:r>
      <w:r w:rsidR="00F25A5C">
        <w:rPr>
          <w:rFonts w:ascii="Arial" w:hAnsi="Arial" w:cs="Arial"/>
          <w:sz w:val="18"/>
          <w:szCs w:val="18"/>
        </w:rPr>
        <w:t>díla</w:t>
      </w:r>
      <w:r w:rsidR="00F25A5C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podstatným způsobem omezují.</w:t>
      </w:r>
    </w:p>
    <w:p w14:paraId="0CB302D2" w14:textId="77777777" w:rsidR="00CD427A" w:rsidRPr="00375846" w:rsidRDefault="00CD427A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673B04A9" w14:textId="5A3A7838" w:rsidR="005F45CE" w:rsidRDefault="00CD427A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0B1E87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</w:t>
      </w:r>
      <w:r w:rsidR="00F25A5C">
        <w:rPr>
          <w:rFonts w:ascii="Arial" w:hAnsi="Arial" w:cs="Arial"/>
          <w:sz w:val="18"/>
          <w:szCs w:val="18"/>
        </w:rPr>
        <w:t xml:space="preserve">pro vady </w:t>
      </w:r>
      <w:r w:rsidRPr="00375846">
        <w:rPr>
          <w:rFonts w:ascii="Arial" w:hAnsi="Arial" w:cs="Arial"/>
          <w:sz w:val="18"/>
          <w:szCs w:val="18"/>
        </w:rPr>
        <w:t>užívat</w:t>
      </w:r>
      <w:r w:rsidR="00F25A5C">
        <w:rPr>
          <w:rFonts w:ascii="Arial" w:hAnsi="Arial" w:cs="Arial"/>
          <w:sz w:val="18"/>
          <w:szCs w:val="18"/>
        </w:rPr>
        <w:t>.</w:t>
      </w:r>
    </w:p>
    <w:p w14:paraId="1022D5F6" w14:textId="77777777" w:rsidR="0059184D" w:rsidRPr="00375846" w:rsidRDefault="0059184D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426CF89C" w14:textId="1F70C93A" w:rsidR="00443DF8" w:rsidRPr="0059184D" w:rsidRDefault="004F07F8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698A4F23" w14:textId="77777777" w:rsidR="00443DF8" w:rsidRPr="00375846" w:rsidRDefault="00443DF8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0EB66FA7" w14:textId="6899F51D" w:rsidR="00D25E08" w:rsidRPr="0059184D" w:rsidRDefault="00D25E08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210E850B" w14:textId="52DFB8C2" w:rsidR="008F4BAD" w:rsidRPr="0059184D" w:rsidRDefault="00D25E08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7CC8C016" w14:textId="162F31CE" w:rsidR="00D25E08" w:rsidRPr="0059184D" w:rsidRDefault="008F4BAD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47DDCBFC" w14:textId="24549BBB" w:rsidR="008F4BAD" w:rsidRPr="0059184D" w:rsidRDefault="00D25E08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7E948FE8" w14:textId="0498E6D0" w:rsidR="00375846" w:rsidRPr="0059184D" w:rsidRDefault="008F4BAD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1FB9402F" w14:textId="77777777" w:rsidR="00D25E08" w:rsidRPr="00375846" w:rsidRDefault="00D25E08" w:rsidP="0059184D">
      <w:pPr>
        <w:spacing w:after="120"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4E8DFDDD" w14:textId="119FCAEE" w:rsidR="00671EE9" w:rsidRPr="0059184D" w:rsidRDefault="004F02F7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3850F5BB" w14:textId="57D3D9E0" w:rsidR="00B3645C" w:rsidRPr="00375846" w:rsidRDefault="00B3645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5F93FA9B" w:rsidR="00552A2D" w:rsidRPr="00552A2D" w:rsidRDefault="00552A2D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A6CA4" w:rsidRPr="00F25A5C">
        <w:rPr>
          <w:rFonts w:ascii="Arial" w:hAnsi="Arial" w:cs="Arial"/>
          <w:sz w:val="18"/>
          <w:szCs w:val="18"/>
        </w:rPr>
        <w:t>10</w:t>
      </w:r>
      <w:r w:rsidR="00EA6CA4">
        <w:rPr>
          <w:rFonts w:ascii="Arial" w:hAnsi="Arial" w:cs="Arial"/>
          <w:sz w:val="18"/>
          <w:szCs w:val="18"/>
        </w:rPr>
        <w:t> </w:t>
      </w:r>
      <w:r w:rsidR="00EA6CA4" w:rsidRPr="00F25A5C">
        <w:rPr>
          <w:rFonts w:ascii="Arial" w:hAnsi="Arial" w:cs="Arial"/>
          <w:sz w:val="18"/>
          <w:szCs w:val="18"/>
        </w:rPr>
        <w:t>000</w:t>
      </w:r>
      <w:r w:rsidR="00EA6CA4">
        <w:rPr>
          <w:rFonts w:ascii="Arial" w:hAnsi="Arial" w:cs="Arial"/>
          <w:sz w:val="18"/>
          <w:szCs w:val="18"/>
        </w:rPr>
        <w:t xml:space="preserve"> Kč</w:t>
      </w:r>
      <w:r w:rsidRPr="00EA6CA4">
        <w:rPr>
          <w:rFonts w:ascii="Arial" w:hAnsi="Arial" w:cs="Arial"/>
          <w:sz w:val="18"/>
          <w:szCs w:val="18"/>
        </w:rPr>
        <w:t xml:space="preserve"> za každý</w:t>
      </w:r>
      <w:r w:rsidRPr="00375846">
        <w:rPr>
          <w:rFonts w:ascii="Arial" w:hAnsi="Arial" w:cs="Arial"/>
          <w:sz w:val="18"/>
          <w:szCs w:val="18"/>
        </w:rPr>
        <w:t xml:space="preserve">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4B01FE0D" w:rsidR="00B3645C" w:rsidRPr="00375846" w:rsidRDefault="00B3645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A6CA4" w:rsidRPr="00F25A5C">
        <w:rPr>
          <w:rFonts w:ascii="Arial" w:hAnsi="Arial" w:cs="Arial"/>
          <w:sz w:val="18"/>
          <w:szCs w:val="18"/>
        </w:rPr>
        <w:t>50</w:t>
      </w:r>
      <w:r w:rsidR="00EA6CA4">
        <w:rPr>
          <w:rFonts w:ascii="Arial" w:hAnsi="Arial" w:cs="Arial"/>
          <w:sz w:val="18"/>
          <w:szCs w:val="18"/>
        </w:rPr>
        <w:t> </w:t>
      </w:r>
      <w:r w:rsidR="00EA6CA4" w:rsidRPr="00F25A5C">
        <w:rPr>
          <w:rFonts w:ascii="Arial" w:hAnsi="Arial" w:cs="Arial"/>
          <w:sz w:val="18"/>
          <w:szCs w:val="18"/>
        </w:rPr>
        <w:t>000</w:t>
      </w:r>
      <w:r w:rsidR="00EA6CA4">
        <w:rPr>
          <w:rFonts w:ascii="Arial" w:hAnsi="Arial" w:cs="Arial"/>
          <w:sz w:val="18"/>
          <w:szCs w:val="18"/>
        </w:rPr>
        <w:t xml:space="preserve"> Kč</w:t>
      </w:r>
      <w:r w:rsidRPr="00EA6CA4">
        <w:rPr>
          <w:rFonts w:ascii="Arial" w:hAnsi="Arial" w:cs="Arial"/>
          <w:sz w:val="18"/>
          <w:szCs w:val="18"/>
        </w:rPr>
        <w:t xml:space="preserve"> za</w:t>
      </w:r>
      <w:r w:rsidRPr="00375846">
        <w:rPr>
          <w:rFonts w:ascii="Arial" w:hAnsi="Arial" w:cs="Arial"/>
          <w:sz w:val="18"/>
          <w:szCs w:val="18"/>
        </w:rPr>
        <w:t xml:space="preserve"> každý započatý kalendářní den prodlení s předáním předmětu smlouvy oproti termínu dokončení předmětu smlouvy dle této smlouvy.</w:t>
      </w:r>
    </w:p>
    <w:p w14:paraId="500DAEEE" w14:textId="267C0839" w:rsidR="00B3645C" w:rsidRPr="00375846" w:rsidRDefault="00B3645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</w:t>
      </w:r>
      <w:r w:rsidRPr="00EA6CA4">
        <w:rPr>
          <w:rFonts w:ascii="Arial" w:hAnsi="Arial" w:cs="Arial"/>
          <w:sz w:val="18"/>
          <w:szCs w:val="18"/>
        </w:rPr>
        <w:t xml:space="preserve">výši </w:t>
      </w:r>
      <w:r w:rsidR="00EA6CA4" w:rsidRPr="00F25A5C">
        <w:rPr>
          <w:rFonts w:ascii="Arial" w:hAnsi="Arial" w:cs="Arial"/>
          <w:sz w:val="18"/>
          <w:szCs w:val="18"/>
        </w:rPr>
        <w:t>5</w:t>
      </w:r>
      <w:r w:rsidR="00EA6CA4">
        <w:rPr>
          <w:rFonts w:ascii="Arial" w:hAnsi="Arial" w:cs="Arial"/>
          <w:sz w:val="18"/>
          <w:szCs w:val="18"/>
        </w:rPr>
        <w:t> </w:t>
      </w:r>
      <w:r w:rsidR="00EA6CA4" w:rsidRPr="00F25A5C">
        <w:rPr>
          <w:rFonts w:ascii="Arial" w:hAnsi="Arial" w:cs="Arial"/>
          <w:sz w:val="18"/>
          <w:szCs w:val="18"/>
        </w:rPr>
        <w:t>000</w:t>
      </w:r>
      <w:r w:rsidR="00EA6CA4">
        <w:rPr>
          <w:rFonts w:ascii="Arial" w:hAnsi="Arial" w:cs="Arial"/>
          <w:sz w:val="18"/>
          <w:szCs w:val="18"/>
        </w:rPr>
        <w:t xml:space="preserve"> Kč</w:t>
      </w:r>
      <w:r w:rsidRPr="00375846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7F5441D4" w:rsidR="00B3645C" w:rsidRPr="00375846" w:rsidRDefault="00B3645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EA6CA4" w:rsidRPr="00F25A5C">
        <w:rPr>
          <w:rFonts w:ascii="Arial" w:hAnsi="Arial" w:cs="Arial"/>
          <w:sz w:val="18"/>
          <w:szCs w:val="18"/>
        </w:rPr>
        <w:t xml:space="preserve">5 000 Kč </w:t>
      </w:r>
      <w:r w:rsidRPr="0037584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5E6E5B06" w:rsidR="00A710DC" w:rsidRPr="00375846" w:rsidRDefault="00A710D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EA6CA4" w:rsidRPr="00F25A5C">
        <w:rPr>
          <w:rFonts w:ascii="Arial" w:hAnsi="Arial" w:cs="Arial"/>
          <w:sz w:val="18"/>
          <w:szCs w:val="18"/>
        </w:rPr>
        <w:t>5 000 Kč</w:t>
      </w:r>
      <w:r w:rsidRPr="0090189D">
        <w:rPr>
          <w:rFonts w:ascii="Arial" w:hAnsi="Arial" w:cs="Arial"/>
          <w:sz w:val="18"/>
          <w:szCs w:val="18"/>
        </w:rPr>
        <w:t xml:space="preserve"> za</w:t>
      </w:r>
      <w:r w:rsidRPr="00375846">
        <w:rPr>
          <w:rFonts w:ascii="Arial" w:hAnsi="Arial" w:cs="Arial"/>
          <w:sz w:val="18"/>
          <w:szCs w:val="18"/>
        </w:rPr>
        <w:t xml:space="preserve"> každých započatých 24 hodin od nahlášení havárie.</w:t>
      </w:r>
    </w:p>
    <w:p w14:paraId="4F29BEE6" w14:textId="4AA6DC81" w:rsidR="00A710DC" w:rsidRPr="00375846" w:rsidRDefault="00A710D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 </w:t>
      </w:r>
      <w:r w:rsidR="0090189D" w:rsidRPr="00F25A5C">
        <w:rPr>
          <w:rFonts w:ascii="Arial" w:hAnsi="Arial" w:cs="Arial"/>
          <w:sz w:val="18"/>
          <w:szCs w:val="18"/>
        </w:rPr>
        <w:t>5 000 Kč</w:t>
      </w:r>
      <w:r w:rsidRPr="0090189D">
        <w:rPr>
          <w:rFonts w:ascii="Arial" w:hAnsi="Arial" w:cs="Arial"/>
          <w:sz w:val="18"/>
          <w:szCs w:val="18"/>
        </w:rPr>
        <w:t xml:space="preserve"> za</w:t>
      </w:r>
      <w:r w:rsidRPr="00375846">
        <w:rPr>
          <w:rFonts w:ascii="Arial" w:hAnsi="Arial" w:cs="Arial"/>
          <w:sz w:val="18"/>
          <w:szCs w:val="18"/>
        </w:rPr>
        <w:t xml:space="preserve">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6010383D" w14:textId="513C6AF7" w:rsidR="000D1CBA" w:rsidRPr="00375846" w:rsidRDefault="000D1CBA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0189D" w:rsidRPr="00F25A5C">
        <w:rPr>
          <w:rFonts w:ascii="Arial" w:hAnsi="Arial" w:cs="Arial"/>
          <w:sz w:val="18"/>
          <w:szCs w:val="18"/>
        </w:rPr>
        <w:t>5 000 Kč</w:t>
      </w:r>
      <w:r w:rsidR="00630A16" w:rsidRPr="0090189D">
        <w:rPr>
          <w:rFonts w:ascii="Arial" w:hAnsi="Arial" w:cs="Arial"/>
          <w:sz w:val="18"/>
          <w:szCs w:val="18"/>
        </w:rPr>
        <w:t xml:space="preserve"> za</w:t>
      </w:r>
      <w:r w:rsidR="00630A16" w:rsidRPr="00375846">
        <w:rPr>
          <w:rFonts w:ascii="Arial" w:hAnsi="Arial" w:cs="Arial"/>
          <w:sz w:val="18"/>
          <w:szCs w:val="18"/>
        </w:rPr>
        <w:t xml:space="preserve"> každý den prodlení</w:t>
      </w:r>
      <w:r w:rsidRPr="00375846">
        <w:rPr>
          <w:rFonts w:ascii="Arial" w:hAnsi="Arial" w:cs="Arial"/>
          <w:sz w:val="18"/>
          <w:szCs w:val="18"/>
        </w:rPr>
        <w:t xml:space="preserve">, jestliže objednateli nepředá v termínu k odsouhlasení podrobný harmonogram průběhu realizace díla. </w:t>
      </w:r>
    </w:p>
    <w:p w14:paraId="628F519B" w14:textId="645F6A8B" w:rsidR="003B6123" w:rsidRPr="00375846" w:rsidRDefault="003B6123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375846">
        <w:rPr>
          <w:rFonts w:ascii="Arial" w:hAnsi="Arial" w:cs="Arial"/>
          <w:sz w:val="18"/>
          <w:szCs w:val="18"/>
        </w:rPr>
        <w:t xml:space="preserve">ve výši </w:t>
      </w:r>
      <w:r w:rsidR="0090189D" w:rsidRPr="00F25A5C">
        <w:rPr>
          <w:rFonts w:ascii="Arial" w:hAnsi="Arial" w:cs="Arial"/>
          <w:sz w:val="18"/>
          <w:szCs w:val="18"/>
        </w:rPr>
        <w:t>5 000 Kč</w:t>
      </w:r>
      <w:r w:rsidR="00C17311" w:rsidRPr="00375846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3B8730C9" w:rsidR="00B3645C" w:rsidRPr="00375846" w:rsidRDefault="00B3645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90189D" w:rsidRPr="00F25A5C">
        <w:rPr>
          <w:rFonts w:ascii="Arial" w:hAnsi="Arial" w:cs="Arial"/>
          <w:sz w:val="18"/>
          <w:szCs w:val="18"/>
        </w:rPr>
        <w:t>10 000 Kč</w:t>
      </w:r>
      <w:r w:rsidRPr="00375846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23DC6E10" w:rsidR="00D46AE9" w:rsidRDefault="00B3645C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 případě, že zhotovitel realizuje předmět smlouvy v rozporu s</w:t>
      </w:r>
      <w:r w:rsidR="0090189D">
        <w:rPr>
          <w:rFonts w:ascii="Arial" w:hAnsi="Arial" w:cs="Arial"/>
          <w:sz w:val="18"/>
          <w:szCs w:val="18"/>
        </w:rPr>
        <w:t>e zadavací dokumentací</w:t>
      </w:r>
      <w:r w:rsidRPr="00375846">
        <w:rPr>
          <w:rFonts w:ascii="Arial" w:hAnsi="Arial" w:cs="Arial"/>
          <w:sz w:val="18"/>
          <w:szCs w:val="18"/>
        </w:rPr>
        <w:t xml:space="preserve"> nebo nedodržuje technologický postup provádění předmětu smlouvy, zaplatí objednateli smluvní pokutu ve výši</w:t>
      </w:r>
      <w:r w:rsidR="0090189D">
        <w:rPr>
          <w:rFonts w:ascii="Arial" w:hAnsi="Arial" w:cs="Arial"/>
          <w:sz w:val="18"/>
          <w:szCs w:val="18"/>
        </w:rPr>
        <w:t xml:space="preserve"> 50 000 Kč</w:t>
      </w:r>
      <w:r w:rsidRPr="00375846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5B72B06B" w14:textId="51DCA3B0" w:rsidR="00FE3A1A" w:rsidRPr="00375846" w:rsidRDefault="00FE3A1A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ve výši</w:t>
      </w:r>
      <w:r w:rsidR="0090189D">
        <w:rPr>
          <w:rFonts w:ascii="Arial" w:hAnsi="Arial" w:cs="Arial"/>
          <w:sz w:val="18"/>
          <w:szCs w:val="18"/>
        </w:rPr>
        <w:t xml:space="preserve"> 5000 Kč,</w:t>
      </w:r>
      <w:r w:rsidRPr="00375846">
        <w:rPr>
          <w:rFonts w:ascii="Arial" w:hAnsi="Arial" w:cs="Arial"/>
          <w:sz w:val="18"/>
          <w:szCs w:val="18"/>
        </w:rPr>
        <w:t xml:space="preserve">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4FA49624" w:rsidR="00375846" w:rsidRDefault="009C54F7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820D3FE" w14:textId="77777777" w:rsidR="0059184D" w:rsidRPr="0059184D" w:rsidRDefault="0059184D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8356963" w14:textId="7D273F50" w:rsidR="00AC2BC2" w:rsidRPr="0059184D" w:rsidRDefault="00BE08BE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1418D196" w14:textId="77777777" w:rsidR="00B867E9" w:rsidRPr="00375846" w:rsidRDefault="00621219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59184D">
      <w:pPr>
        <w:numPr>
          <w:ilvl w:val="1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59184D">
      <w:pPr>
        <w:numPr>
          <w:ilvl w:val="2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59184D">
      <w:pPr>
        <w:numPr>
          <w:ilvl w:val="2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59184D" w:rsidRDefault="00B867E9" w:rsidP="0059184D">
      <w:pPr>
        <w:numPr>
          <w:ilvl w:val="2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184D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59184D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59184D">
        <w:rPr>
          <w:rFonts w:ascii="Arial" w:hAnsi="Arial" w:cs="Arial"/>
          <w:sz w:val="18"/>
          <w:szCs w:val="18"/>
        </w:rPr>
        <w:t xml:space="preserve"> v</w:t>
      </w:r>
      <w:r w:rsidR="004B3972" w:rsidRPr="0059184D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59184D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112B03D0" w14:textId="02B920FC" w:rsidR="00630A16" w:rsidRPr="0059184D" w:rsidRDefault="00B867E9" w:rsidP="0059184D">
      <w:pPr>
        <w:numPr>
          <w:ilvl w:val="2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184D">
        <w:rPr>
          <w:rFonts w:ascii="Arial" w:hAnsi="Arial" w:cs="Arial"/>
          <w:sz w:val="18"/>
          <w:szCs w:val="18"/>
        </w:rPr>
        <w:lastRenderedPageBreak/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59184D" w:rsidRDefault="00B867E9" w:rsidP="0059184D">
      <w:pPr>
        <w:numPr>
          <w:ilvl w:val="2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184D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59184D">
        <w:rPr>
          <w:rFonts w:ascii="Arial" w:hAnsi="Arial" w:cs="Arial"/>
          <w:sz w:val="18"/>
          <w:szCs w:val="18"/>
        </w:rPr>
        <w:t>,</w:t>
      </w:r>
      <w:r w:rsidRPr="0059184D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25122999" w14:textId="660F0F03" w:rsidR="00654B96" w:rsidRPr="0059184D" w:rsidRDefault="00B867E9" w:rsidP="0059184D">
      <w:pPr>
        <w:numPr>
          <w:ilvl w:val="1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3A208A36" w14:textId="16376E4D" w:rsidR="001474CB" w:rsidRPr="0059184D" w:rsidRDefault="001474CB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2DC2F79B" w14:textId="7264E9D5" w:rsidR="001474CB" w:rsidRPr="0059184D" w:rsidRDefault="001474CB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79CE33E3" w14:textId="3A853E64" w:rsidR="001474CB" w:rsidRPr="0059184D" w:rsidRDefault="001474CB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1780FA2E" w14:textId="57ECCCF6" w:rsidR="0059184D" w:rsidRPr="00FA1D20" w:rsidRDefault="0014696A" w:rsidP="00FA1D2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05073297" w14:textId="77777777" w:rsidR="0059184D" w:rsidRPr="0059184D" w:rsidRDefault="0059184D" w:rsidP="0059184D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61A6A0B" w14:textId="7D826EAD" w:rsidR="004F07F8" w:rsidRPr="0059184D" w:rsidRDefault="00210FAC" w:rsidP="0059184D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1E632714" w14:textId="77777777" w:rsidR="006306C4" w:rsidRPr="00375846" w:rsidRDefault="006306C4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A6294F8" w14:textId="55C9F878" w:rsidR="00654B96" w:rsidRPr="0059184D" w:rsidRDefault="006B53A5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  <w:r w:rsidR="004B7176" w:rsidRPr="00F25A5C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F25A5C">
        <w:rPr>
          <w:rFonts w:ascii="Arial" w:hAnsi="Arial" w:cs="Arial"/>
          <w:sz w:val="18"/>
          <w:szCs w:val="18"/>
        </w:rPr>
        <w:t>3</w:t>
      </w:r>
      <w:r w:rsidR="004B7176" w:rsidRPr="00F25A5C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F25A5C">
        <w:rPr>
          <w:rFonts w:ascii="Arial" w:hAnsi="Arial" w:cs="Arial"/>
          <w:sz w:val="18"/>
          <w:szCs w:val="18"/>
        </w:rPr>
        <w:t>2</w:t>
      </w:r>
      <w:r w:rsidR="004B7176" w:rsidRPr="00F25A5C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F25A5C">
        <w:rPr>
          <w:rFonts w:ascii="Arial" w:hAnsi="Arial" w:cs="Arial"/>
          <w:sz w:val="18"/>
          <w:szCs w:val="18"/>
        </w:rPr>
        <w:t>1</w:t>
      </w:r>
      <w:r w:rsidR="004B7176" w:rsidRPr="00F25A5C">
        <w:rPr>
          <w:rFonts w:ascii="Arial" w:hAnsi="Arial" w:cs="Arial"/>
          <w:sz w:val="18"/>
          <w:szCs w:val="18"/>
        </w:rPr>
        <w:t xml:space="preserve"> vyhotovení.</w:t>
      </w:r>
      <w:r w:rsidR="00F25A5C" w:rsidRPr="00F25A5C">
        <w:rPr>
          <w:rFonts w:ascii="Arial" w:hAnsi="Arial" w:cs="Arial"/>
          <w:sz w:val="18"/>
          <w:szCs w:val="18"/>
        </w:rPr>
        <w:t>V případě, že ses</w:t>
      </w:r>
      <w:r w:rsidR="00BB4E41" w:rsidRPr="00F25A5C">
        <w:rPr>
          <w:rFonts w:ascii="Arial" w:hAnsi="Arial" w:cs="Arial"/>
          <w:sz w:val="18"/>
          <w:szCs w:val="18"/>
        </w:rPr>
        <w:t xml:space="preserve">mluvní strany </w:t>
      </w:r>
      <w:r w:rsidR="00F25A5C" w:rsidRPr="00F25A5C">
        <w:rPr>
          <w:rFonts w:ascii="Arial" w:hAnsi="Arial" w:cs="Arial"/>
          <w:sz w:val="18"/>
          <w:szCs w:val="18"/>
        </w:rPr>
        <w:t>dohodnou</w:t>
      </w:r>
      <w:r w:rsidR="00BB4E41" w:rsidRPr="00F25A5C">
        <w:rPr>
          <w:rFonts w:ascii="Arial" w:hAnsi="Arial" w:cs="Arial"/>
          <w:sz w:val="18"/>
          <w:szCs w:val="18"/>
        </w:rPr>
        <w:t xml:space="preserve">, že smlouvu uzavřou prostřednictvím prostředků komunikace na dálku </w:t>
      </w:r>
      <w:r w:rsidR="00F25A5C" w:rsidRPr="00F25A5C">
        <w:rPr>
          <w:rFonts w:ascii="Arial" w:hAnsi="Arial" w:cs="Arial"/>
          <w:sz w:val="18"/>
          <w:szCs w:val="18"/>
        </w:rPr>
        <w:t>s</w:t>
      </w:r>
      <w:r w:rsidR="00BB4E41" w:rsidRPr="00F25A5C">
        <w:rPr>
          <w:rFonts w:ascii="Arial" w:hAnsi="Arial" w:cs="Arial"/>
          <w:sz w:val="18"/>
          <w:szCs w:val="18"/>
        </w:rPr>
        <w:t>mlouva bude uzavřena připojením zaručených/kvalifikovaných elektronických podpisů obou smluvních stran.</w:t>
      </w:r>
    </w:p>
    <w:p w14:paraId="72B98CCC" w14:textId="77777777" w:rsidR="005328F9" w:rsidRPr="00BB4E41" w:rsidRDefault="005328F9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4E41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375846" w:rsidRDefault="005328F9" w:rsidP="0059184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………..</w:t>
      </w:r>
      <w:r w:rsidRPr="00375846">
        <w:rPr>
          <w:rFonts w:ascii="Arial" w:hAnsi="Arial" w:cs="Arial"/>
          <w:sz w:val="18"/>
          <w:szCs w:val="18"/>
          <w:highlight w:val="yellow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570C12" w:rsidRPr="00375846">
        <w:rPr>
          <w:rFonts w:ascii="Arial" w:hAnsi="Arial" w:cs="Arial"/>
          <w:sz w:val="18"/>
          <w:szCs w:val="18"/>
        </w:rPr>
        <w:t>schůzi</w:t>
      </w:r>
      <w:r w:rsidRPr="00375846">
        <w:rPr>
          <w:rFonts w:ascii="Arial" w:hAnsi="Arial" w:cs="Arial"/>
          <w:sz w:val="18"/>
          <w:szCs w:val="18"/>
        </w:rPr>
        <w:t xml:space="preserve"> dne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…………………….</w:t>
      </w:r>
    </w:p>
    <w:p w14:paraId="31E0E1AE" w14:textId="77777777" w:rsidR="0060429F" w:rsidRDefault="0060429F" w:rsidP="0059184D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743C750C" w14:textId="354771AB" w:rsidR="006B53A5" w:rsidRPr="00375846" w:rsidRDefault="00576C76" w:rsidP="0059184D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25A5C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59184D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90189D">
        <w:rPr>
          <w:rFonts w:ascii="Arial" w:hAnsi="Arial" w:cs="Arial"/>
          <w:b/>
          <w:sz w:val="18"/>
          <w:szCs w:val="18"/>
        </w:rPr>
        <w:t>Příloha č. 1</w:t>
      </w:r>
      <w:r w:rsidRPr="0090189D">
        <w:rPr>
          <w:rFonts w:ascii="Arial" w:hAnsi="Arial" w:cs="Arial"/>
          <w:sz w:val="18"/>
          <w:szCs w:val="18"/>
        </w:rPr>
        <w:t xml:space="preserve"> </w:t>
      </w:r>
      <w:r w:rsidRPr="0090189D">
        <w:rPr>
          <w:rFonts w:ascii="Arial" w:hAnsi="Arial" w:cs="Arial"/>
          <w:sz w:val="18"/>
          <w:szCs w:val="18"/>
        </w:rPr>
        <w:tab/>
      </w:r>
      <w:r w:rsidRPr="00F25A5C">
        <w:rPr>
          <w:rFonts w:ascii="Arial" w:hAnsi="Arial" w:cs="Arial"/>
          <w:b/>
          <w:sz w:val="18"/>
          <w:szCs w:val="18"/>
        </w:rPr>
        <w:t>Položkový rozpočet</w:t>
      </w:r>
      <w:r w:rsidRPr="00F25A5C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F25A5C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59184D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59184D">
      <w:pPr>
        <w:spacing w:after="120" w:line="240" w:lineRule="auto"/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59184D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59184D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59184D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59184D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C253F3A" w:rsidR="00FF2899" w:rsidRDefault="00FF2899" w:rsidP="00FA1D20">
      <w:pPr>
        <w:spacing w:line="240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3BF7A069" w14:textId="7CB7AC37" w:rsidR="00FA1D20" w:rsidRDefault="00FA1D20" w:rsidP="00FA1D20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Roman Pekárek</w:t>
      </w:r>
    </w:p>
    <w:p w14:paraId="2D56BFE1" w14:textId="4B9BC991" w:rsidR="00FA1D20" w:rsidRPr="00375846" w:rsidRDefault="00FA1D20" w:rsidP="00FA1D20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odboru rozvoje města</w:t>
      </w:r>
    </w:p>
    <w:p w14:paraId="401DF6AE" w14:textId="77777777" w:rsidR="00AA47E5" w:rsidRPr="00375846" w:rsidRDefault="00AA47E5" w:rsidP="0059184D">
      <w:pPr>
        <w:spacing w:after="120" w:line="240" w:lineRule="auto"/>
        <w:rPr>
          <w:rFonts w:ascii="Arial" w:hAnsi="Arial" w:cs="Arial"/>
          <w:sz w:val="18"/>
          <w:szCs w:val="18"/>
        </w:rPr>
      </w:pPr>
    </w:p>
    <w:sectPr w:rsidR="00AA47E5" w:rsidRPr="00375846" w:rsidSect="00FA1D20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851" w:right="1134" w:bottom="851" w:left="1134" w:header="652" w:footer="53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7B354B61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F43E3">
      <w:rPr>
        <w:rFonts w:ascii="Arial" w:hAnsi="Arial" w:cs="Arial"/>
        <w:b/>
        <w:bCs/>
        <w:sz w:val="18"/>
      </w:rPr>
      <w:t>7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F43E3">
      <w:rPr>
        <w:rFonts w:ascii="Arial" w:hAnsi="Arial" w:cs="Arial"/>
        <w:b/>
        <w:bCs/>
        <w:sz w:val="18"/>
      </w:rPr>
      <w:t>7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953CD"/>
    <w:rsid w:val="000A59D0"/>
    <w:rsid w:val="000B015E"/>
    <w:rsid w:val="000B1545"/>
    <w:rsid w:val="000B1904"/>
    <w:rsid w:val="000B1E87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2A06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2F43E3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063"/>
    <w:rsid w:val="004E5949"/>
    <w:rsid w:val="004E7F1B"/>
    <w:rsid w:val="004F02F7"/>
    <w:rsid w:val="004F07F8"/>
    <w:rsid w:val="004F29F9"/>
    <w:rsid w:val="004F5583"/>
    <w:rsid w:val="004F5F0A"/>
    <w:rsid w:val="004F7411"/>
    <w:rsid w:val="004F7D06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184D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89D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512"/>
    <w:rsid w:val="00925EE6"/>
    <w:rsid w:val="009263C9"/>
    <w:rsid w:val="0093162E"/>
    <w:rsid w:val="009318BD"/>
    <w:rsid w:val="0093609D"/>
    <w:rsid w:val="00937A64"/>
    <w:rsid w:val="0094253F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34F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E301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CF467F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686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2E88"/>
    <w:rsid w:val="00DF37F5"/>
    <w:rsid w:val="00DF4748"/>
    <w:rsid w:val="00E0186B"/>
    <w:rsid w:val="00E05E87"/>
    <w:rsid w:val="00E11027"/>
    <w:rsid w:val="00E144B6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A6CA4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5A5C"/>
    <w:rsid w:val="00F26DB0"/>
    <w:rsid w:val="00F32DCC"/>
    <w:rsid w:val="00F40299"/>
    <w:rsid w:val="00F42548"/>
    <w:rsid w:val="00F4384E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1D20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64272-3033-4EEA-A957-06CBB27C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7</Pages>
  <Words>4064</Words>
  <Characters>23930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27939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8</cp:revision>
  <cp:lastPrinted>2024-04-04T07:30:00Z</cp:lastPrinted>
  <dcterms:created xsi:type="dcterms:W3CDTF">2025-04-01T08:02:00Z</dcterms:created>
  <dcterms:modified xsi:type="dcterms:W3CDTF">2025-04-10T10:51:00Z</dcterms:modified>
</cp:coreProperties>
</file>