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230CB" w14:textId="39C35A59" w:rsidR="009252AE" w:rsidRDefault="00CD74B5" w:rsidP="00CD74B5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166DDE5B" wp14:editId="0FF7F5B8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69896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02589F38" w14:textId="6422750E" w:rsidR="009252AE" w:rsidRPr="004C6CC8" w:rsidRDefault="004C6CC8" w:rsidP="009252AE">
      <w:pPr>
        <w:ind w:left="0"/>
        <w:rPr>
          <w:rFonts w:ascii="Times New Roman" w:hAnsi="Times New Roman"/>
          <w:i/>
          <w:sz w:val="22"/>
          <w:szCs w:val="22"/>
        </w:rPr>
      </w:pPr>
      <w:r w:rsidRPr="004C6CC8">
        <w:rPr>
          <w:rFonts w:ascii="Times New Roman" w:hAnsi="Times New Roman"/>
          <w:i/>
          <w:sz w:val="22"/>
          <w:szCs w:val="22"/>
        </w:rPr>
        <w:t>Příloha č. 3 zadávací dokumentace – Technická specifikace předmětu plnění</w:t>
      </w:r>
    </w:p>
    <w:p w14:paraId="1CE0CA0A" w14:textId="0B42E7D1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586DB5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76B398EE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62FED540" w14:textId="16EF8EDC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0C6C27">
        <w:rPr>
          <w:rFonts w:ascii="Times New Roman" w:hAnsi="Times New Roman"/>
          <w:b/>
          <w:sz w:val="22"/>
          <w:szCs w:val="22"/>
        </w:rPr>
        <w:t xml:space="preserve">Dodávka </w:t>
      </w:r>
      <w:r w:rsidR="00904A9E">
        <w:rPr>
          <w:rFonts w:ascii="Times New Roman" w:hAnsi="Times New Roman"/>
          <w:b/>
          <w:sz w:val="22"/>
          <w:szCs w:val="22"/>
        </w:rPr>
        <w:t>2</w:t>
      </w:r>
      <w:r w:rsidR="000C6C27">
        <w:rPr>
          <w:rFonts w:ascii="Times New Roman" w:hAnsi="Times New Roman"/>
          <w:b/>
          <w:sz w:val="22"/>
          <w:szCs w:val="22"/>
        </w:rPr>
        <w:t xml:space="preserve"> ks plniček</w:t>
      </w:r>
      <w:r w:rsidR="00904A9E">
        <w:rPr>
          <w:rFonts w:ascii="Times New Roman" w:hAnsi="Times New Roman"/>
          <w:b/>
          <w:sz w:val="22"/>
          <w:szCs w:val="22"/>
        </w:rPr>
        <w:t xml:space="preserve"> celovozových klimat</w:t>
      </w:r>
      <w:r w:rsidR="002265C7">
        <w:rPr>
          <w:rFonts w:ascii="Times New Roman" w:hAnsi="Times New Roman"/>
          <w:b/>
          <w:sz w:val="22"/>
          <w:szCs w:val="22"/>
        </w:rPr>
        <w:t>izac</w:t>
      </w:r>
      <w:r w:rsidR="008A230B">
        <w:rPr>
          <w:rFonts w:ascii="Times New Roman" w:hAnsi="Times New Roman"/>
          <w:b/>
          <w:sz w:val="22"/>
          <w:szCs w:val="22"/>
        </w:rPr>
        <w:t>í</w:t>
      </w:r>
      <w:r w:rsidR="002265C7">
        <w:rPr>
          <w:rFonts w:ascii="Times New Roman" w:hAnsi="Times New Roman"/>
          <w:b/>
          <w:sz w:val="22"/>
          <w:szCs w:val="22"/>
        </w:rPr>
        <w:t xml:space="preserve"> </w:t>
      </w:r>
      <w:r w:rsidR="000C6C27">
        <w:rPr>
          <w:rFonts w:ascii="Times New Roman" w:hAnsi="Times New Roman"/>
          <w:b/>
          <w:sz w:val="22"/>
          <w:szCs w:val="22"/>
        </w:rPr>
        <w:t>a</w:t>
      </w:r>
      <w:r w:rsidR="008A230B">
        <w:rPr>
          <w:rFonts w:ascii="Times New Roman" w:hAnsi="Times New Roman"/>
          <w:b/>
          <w:sz w:val="22"/>
          <w:szCs w:val="22"/>
        </w:rPr>
        <w:t xml:space="preserve"> </w:t>
      </w:r>
      <w:r w:rsidR="008A230B" w:rsidRPr="00B41104">
        <w:rPr>
          <w:rFonts w:ascii="Times New Roman" w:hAnsi="Times New Roman"/>
          <w:b/>
          <w:sz w:val="22"/>
          <w:szCs w:val="22"/>
        </w:rPr>
        <w:t xml:space="preserve">1 ks proplachovací jednotky </w:t>
      </w:r>
    </w:p>
    <w:p w14:paraId="6547DC94" w14:textId="77777777" w:rsidR="002262F9" w:rsidRPr="00357CC7" w:rsidRDefault="00E66F53" w:rsidP="00240F28">
      <w:pPr>
        <w:ind w:left="0" w:right="28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2262F9" w:rsidRPr="002262F9">
        <w:rPr>
          <w:rFonts w:ascii="Times New Roman" w:hAnsi="Times New Roman"/>
          <w:b/>
          <w:sz w:val="22"/>
          <w:szCs w:val="22"/>
        </w:rPr>
        <w:t>Areál autobusy Hranečník</w:t>
      </w:r>
      <w:r w:rsidR="002262F9">
        <w:rPr>
          <w:rFonts w:ascii="Times New Roman" w:hAnsi="Times New Roman"/>
          <w:b/>
          <w:sz w:val="22"/>
          <w:szCs w:val="22"/>
        </w:rPr>
        <w:t xml:space="preserve">: </w:t>
      </w:r>
      <w:r w:rsidR="002262F9" w:rsidRPr="002262F9">
        <w:rPr>
          <w:rFonts w:ascii="Times New Roman" w:hAnsi="Times New Roman"/>
          <w:b/>
          <w:sz w:val="22"/>
          <w:szCs w:val="22"/>
        </w:rPr>
        <w:t>ul. Počáteční 1962/36, 710 00  Ostrava- Slezská Ostrava</w:t>
      </w:r>
    </w:p>
    <w:p w14:paraId="10E5FBE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70429F">
        <w:rPr>
          <w:rFonts w:ascii="Times New Roman" w:hAnsi="Times New Roman"/>
          <w:b/>
          <w:sz w:val="22"/>
          <w:szCs w:val="22"/>
        </w:rPr>
        <w:t>5</w:t>
      </w:r>
      <w:r w:rsidR="000F74E8">
        <w:rPr>
          <w:rFonts w:ascii="Times New Roman" w:hAnsi="Times New Roman"/>
          <w:b/>
          <w:sz w:val="22"/>
          <w:szCs w:val="22"/>
        </w:rPr>
        <w:t>0743</w:t>
      </w:r>
    </w:p>
    <w:p w14:paraId="61FE64A0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77672A6F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BD3DC2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19B0EF4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33D831F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08027D6C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29248C9" w14:textId="77777777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20FF3BD6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32886318" w14:textId="77777777" w:rsidTr="00513D13">
        <w:trPr>
          <w:trHeight w:val="655"/>
        </w:trPr>
        <w:tc>
          <w:tcPr>
            <w:tcW w:w="7143" w:type="dxa"/>
            <w:shd w:val="clear" w:color="auto" w:fill="2DE6FF"/>
            <w:vAlign w:val="center"/>
          </w:tcPr>
          <w:p w14:paraId="7AA73B08" w14:textId="77777777" w:rsidR="00C83B04" w:rsidRPr="00BA1AAF" w:rsidRDefault="00C0684E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83B04"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924" w:type="dxa"/>
            <w:shd w:val="clear" w:color="auto" w:fill="2DE6FF"/>
            <w:noWrap/>
            <w:vAlign w:val="center"/>
          </w:tcPr>
          <w:p w14:paraId="7C90AE3E" w14:textId="0685FCDA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shd w:val="clear" w:color="auto" w:fill="2DE6FF"/>
            <w:noWrap/>
            <w:vAlign w:val="center"/>
          </w:tcPr>
          <w:p w14:paraId="557988F8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B56DAB" w:rsidRPr="00C06E82" w14:paraId="145E5048" w14:textId="77777777" w:rsidTr="00636F6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54E50C2" w14:textId="77777777" w:rsidR="00B56DAB" w:rsidRPr="00420EEA" w:rsidRDefault="005D5673" w:rsidP="00C2748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Automatická p</w:t>
            </w:r>
            <w:r w:rsidR="00B56DAB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lnička klimatizací určená pro plnění</w:t>
            </w:r>
            <w:r w:rsidR="0049344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celovozových</w:t>
            </w:r>
            <w:r w:rsidR="00B56DAB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klimatizací dopravních prostředků MHD</w:t>
            </w:r>
            <w:r w:rsidR="00B146D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7CEF6E" w14:textId="77777777" w:rsidR="00B56DAB" w:rsidRPr="00FD0501" w:rsidRDefault="00B56DAB" w:rsidP="00B56D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FA1758" w14:textId="77777777" w:rsidR="00B56DAB" w:rsidRPr="00C06E82" w:rsidRDefault="00B56DAB" w:rsidP="00B56D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5DD1" w:rsidRPr="00C06E82" w14:paraId="0D2D6D0E" w14:textId="77777777" w:rsidTr="00636F6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13A8E4F" w14:textId="77777777" w:rsidR="00D05DD1" w:rsidRDefault="00D05DD1" w:rsidP="0008286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Certifikace CE.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E72305C" w14:textId="77777777" w:rsidR="00D05DD1" w:rsidRPr="00FD0501" w:rsidRDefault="00D05DD1" w:rsidP="00B56D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B61416" w14:textId="77777777" w:rsidR="00D05DD1" w:rsidRPr="00C06E82" w:rsidRDefault="00D05DD1" w:rsidP="00B56D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56DAB" w:rsidRPr="00C06E82" w14:paraId="62209575" w14:textId="77777777" w:rsidTr="00636F6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2BD7C7E" w14:textId="77777777" w:rsidR="00B56DAB" w:rsidRPr="00420EEA" w:rsidRDefault="0049344E" w:rsidP="0049344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Chladící médium</w:t>
            </w:r>
            <w:r w:rsidR="00B56DAB" w:rsidRPr="00AD1399"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="007302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56DAB" w:rsidRPr="00AD1399">
              <w:rPr>
                <w:rFonts w:ascii="Times New Roman" w:hAnsi="Times New Roman"/>
                <w:sz w:val="22"/>
                <w:szCs w:val="22"/>
              </w:rPr>
              <w:t>134a</w:t>
            </w:r>
            <w:r w:rsidR="00B56DA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5DAF69" w14:textId="77777777" w:rsidR="00B56DAB" w:rsidRPr="00C06E82" w:rsidRDefault="00B56DAB" w:rsidP="00B56D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71F2D7A" w14:textId="77777777" w:rsidR="00B56DAB" w:rsidRPr="00C06E82" w:rsidRDefault="00B56DAB" w:rsidP="00B56D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13D13" w:rsidRPr="00C06E82" w14:paraId="368DA4B0" w14:textId="77777777" w:rsidTr="00513D13">
        <w:trPr>
          <w:trHeight w:val="655"/>
        </w:trPr>
        <w:tc>
          <w:tcPr>
            <w:tcW w:w="7143" w:type="dxa"/>
            <w:shd w:val="clear" w:color="auto" w:fill="2DE6FF"/>
            <w:vAlign w:val="center"/>
          </w:tcPr>
          <w:p w14:paraId="1712982D" w14:textId="77777777" w:rsidR="00513D13" w:rsidRPr="00420EEA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Zásobník chladiva o objemu, min. 30 kg.</w:t>
            </w:r>
          </w:p>
        </w:tc>
        <w:tc>
          <w:tcPr>
            <w:tcW w:w="924" w:type="dxa"/>
            <w:shd w:val="clear" w:color="auto" w:fill="2DE6FF"/>
            <w:noWrap/>
            <w:vAlign w:val="center"/>
          </w:tcPr>
          <w:p w14:paraId="3F64B4B0" w14:textId="062CCB93" w:rsidR="00513D13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2DE6FF"/>
            <w:noWrap/>
            <w:vAlign w:val="center"/>
          </w:tcPr>
          <w:p w14:paraId="1574A293" w14:textId="6CDCD3BD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13D13" w:rsidRPr="00C06E82" w14:paraId="3C02E43F" w14:textId="77777777" w:rsidTr="00636F6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2F3D21F" w14:textId="77777777" w:rsidR="00513D13" w:rsidRPr="00420EEA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Servisní hadice v délce, min. 5 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ED0D578" w14:textId="77777777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9A06C6" w14:textId="77777777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13D13" w:rsidRPr="00C06E82" w14:paraId="4F1645AD" w14:textId="77777777" w:rsidTr="00513D13">
        <w:trPr>
          <w:trHeight w:val="655"/>
        </w:trPr>
        <w:tc>
          <w:tcPr>
            <w:tcW w:w="7143" w:type="dxa"/>
            <w:shd w:val="clear" w:color="auto" w:fill="2DE6FF"/>
            <w:vAlign w:val="center"/>
          </w:tcPr>
          <w:p w14:paraId="55FB2AB7" w14:textId="77777777" w:rsidR="00513D13" w:rsidRPr="00420EEA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Výkon vakuového čerpadla, min. 170 l/min.</w:t>
            </w:r>
          </w:p>
        </w:tc>
        <w:tc>
          <w:tcPr>
            <w:tcW w:w="924" w:type="dxa"/>
            <w:shd w:val="clear" w:color="auto" w:fill="2DE6FF"/>
            <w:noWrap/>
            <w:vAlign w:val="center"/>
          </w:tcPr>
          <w:p w14:paraId="1FA2828D" w14:textId="7F8A80EB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2DE6FF"/>
            <w:noWrap/>
            <w:vAlign w:val="center"/>
          </w:tcPr>
          <w:p w14:paraId="38772D6B" w14:textId="6EB3E388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13D13" w:rsidRPr="00C06E82" w14:paraId="76D12C5B" w14:textId="77777777" w:rsidTr="00513D13">
        <w:trPr>
          <w:trHeight w:val="655"/>
        </w:trPr>
        <w:tc>
          <w:tcPr>
            <w:tcW w:w="7143" w:type="dxa"/>
            <w:shd w:val="clear" w:color="auto" w:fill="2DE6FF"/>
            <w:vAlign w:val="center"/>
          </w:tcPr>
          <w:p w14:paraId="247BD597" w14:textId="77777777" w:rsidR="00513D13" w:rsidRPr="00082863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lastRenderedPageBreak/>
              <w:t>Odsávací a plnící výkon, min. 1000 g/min.</w:t>
            </w:r>
          </w:p>
        </w:tc>
        <w:tc>
          <w:tcPr>
            <w:tcW w:w="924" w:type="dxa"/>
            <w:shd w:val="clear" w:color="auto" w:fill="2DE6FF"/>
            <w:noWrap/>
            <w:vAlign w:val="center"/>
          </w:tcPr>
          <w:p w14:paraId="3DBDD03B" w14:textId="2B1D4AF2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2DE6FF"/>
            <w:noWrap/>
            <w:vAlign w:val="center"/>
          </w:tcPr>
          <w:p w14:paraId="35EA4120" w14:textId="07433D43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13D13" w:rsidRPr="00C06E82" w14:paraId="5037AF09" w14:textId="77777777" w:rsidTr="00636F6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19FA70D" w14:textId="77777777" w:rsidR="00513D13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Tlaková láhev bez ohřevu, např. pomocí ohřevného pásu.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D891A2" w14:textId="77777777" w:rsidR="00513D13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357F3FB" w14:textId="77777777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13D13" w:rsidRPr="00C06E82" w14:paraId="3162B0CD" w14:textId="77777777" w:rsidTr="00636F6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342D7B9" w14:textId="77777777" w:rsidR="00513D13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Tiskárna k výtisku zpráv po ukončení práce.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5A7374" w14:textId="77777777" w:rsidR="00513D13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70BF92B" w14:textId="77777777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13D13" w:rsidRPr="00C06E82" w14:paraId="1DD314EB" w14:textId="77777777" w:rsidTr="00636F6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2257B92" w14:textId="77777777" w:rsidR="00513D13" w:rsidRPr="009767E6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9767E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Proplachovací software pro automatický proplach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klimatizačního systému</w:t>
            </w:r>
            <w:r w:rsidRPr="009767E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vozidel.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302545F" w14:textId="77777777" w:rsidR="00513D13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B6BB386" w14:textId="77777777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13D13" w:rsidRPr="00C06E82" w14:paraId="2550634C" w14:textId="77777777" w:rsidTr="00636F6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5D62AF3" w14:textId="77777777" w:rsidR="00513D13" w:rsidRPr="009767E6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Kompletní ovládání v českém jazyce.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3A933B" w14:textId="77777777" w:rsidR="00513D13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62F07F1" w14:textId="77777777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7EE0" w:rsidRPr="00C06E82" w14:paraId="1B47DC35" w14:textId="77777777" w:rsidTr="00F4280C">
        <w:trPr>
          <w:trHeight w:val="655"/>
        </w:trPr>
        <w:tc>
          <w:tcPr>
            <w:tcW w:w="9366" w:type="dxa"/>
            <w:gridSpan w:val="3"/>
            <w:shd w:val="clear" w:color="auto" w:fill="BFBFBF" w:themeFill="background1" w:themeFillShade="BF"/>
            <w:vAlign w:val="center"/>
          </w:tcPr>
          <w:p w14:paraId="4653E368" w14:textId="199CCF6B" w:rsidR="00167EE0" w:rsidRPr="00C06E82" w:rsidRDefault="00167EE0" w:rsidP="00167EE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A4A2C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Příslušenství:</w:t>
            </w:r>
          </w:p>
        </w:tc>
      </w:tr>
      <w:tr w:rsidR="00513D13" w:rsidRPr="00C06E82" w14:paraId="45DC9F37" w14:textId="77777777" w:rsidTr="00636F6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ED7A569" w14:textId="77777777" w:rsidR="00513D13" w:rsidRPr="00DA4A2C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Proplachovací jednotka chladiva – v</w:t>
            </w:r>
            <w:r w:rsidRPr="00536B5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yč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ištění systému k odstranění usazenin,</w:t>
            </w:r>
            <w:r w:rsidRPr="00536B5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kovov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ých</w:t>
            </w:r>
            <w:r w:rsidRPr="00536B5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pilin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při poškození kompresoru klimatizace.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1F183EA" w14:textId="77777777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95E6885" w14:textId="77777777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13D13" w:rsidRPr="00C06E82" w14:paraId="74AF3098" w14:textId="77777777" w:rsidTr="00636F6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BD4E636" w14:textId="77777777" w:rsidR="00513D13" w:rsidRPr="00420EEA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Sada odběrových adaptérů (láhve s chladivem) pro R 13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4a.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190684D" w14:textId="77777777" w:rsidR="00513D13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BFE4523" w14:textId="77777777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13D13" w:rsidRPr="00C06E82" w14:paraId="14DF5230" w14:textId="77777777" w:rsidTr="00636F6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FE83219" w14:textId="77777777" w:rsidR="00513D13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Sada adaptérů</w:t>
            </w:r>
            <w:r w:rsidRPr="00536B5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k proplachu.</w:t>
            </w:r>
            <w:r w:rsidRPr="00536B5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ab/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9D6E518" w14:textId="77777777" w:rsidR="00513D13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41F6E83" w14:textId="77777777" w:rsidR="00513D13" w:rsidRPr="00C06E82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13D13" w:rsidRPr="00C06E82" w14:paraId="7A245AA1" w14:textId="77777777" w:rsidTr="00636F6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660B090" w14:textId="77777777" w:rsidR="00513D13" w:rsidRPr="00420EEA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Digitální servisní teploměr.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6255D5" w14:textId="77777777" w:rsidR="00513D13" w:rsidRPr="00F77C21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583BE33" w14:textId="77777777" w:rsidR="00513D13" w:rsidRPr="00F77C21" w:rsidRDefault="00513D13" w:rsidP="00513D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3D13" w:rsidRPr="00C06E82" w14:paraId="167802CE" w14:textId="77777777" w:rsidTr="00636F6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FB5C3DA" w14:textId="77777777" w:rsidR="00513D13" w:rsidRPr="00420EEA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Sortiment o-kroužků.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277BA7" w14:textId="77777777" w:rsidR="00513D13" w:rsidRPr="00F77C21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4BFA05E" w14:textId="77777777" w:rsidR="00513D13" w:rsidRPr="00F77C21" w:rsidRDefault="00513D13" w:rsidP="00513D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3D13" w:rsidRPr="00C06E82" w14:paraId="6E54164E" w14:textId="77777777" w:rsidTr="00513D13">
        <w:trPr>
          <w:trHeight w:val="766"/>
        </w:trPr>
        <w:tc>
          <w:tcPr>
            <w:tcW w:w="7143" w:type="dxa"/>
            <w:shd w:val="clear" w:color="auto" w:fill="auto"/>
            <w:vAlign w:val="center"/>
          </w:tcPr>
          <w:p w14:paraId="15104559" w14:textId="77777777" w:rsidR="00513D13" w:rsidRDefault="00513D13" w:rsidP="00513D1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Obal (kryt) plničky proti prachu.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C4116C3" w14:textId="77777777" w:rsidR="00513D13" w:rsidRPr="00F77C21" w:rsidRDefault="00513D13" w:rsidP="00513D1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130FDA" w14:textId="77777777" w:rsidR="00513D13" w:rsidRPr="00F77C21" w:rsidRDefault="00513D13" w:rsidP="00513D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AE88EB2" w14:textId="77777777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6B70CEB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7776D70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BAE21E7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525767F2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7E3B7E42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4B67B7E4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69B2E" w14:textId="77777777" w:rsidR="00D47917" w:rsidRDefault="00D47917">
      <w:r>
        <w:separator/>
      </w:r>
    </w:p>
  </w:endnote>
  <w:endnote w:type="continuationSeparator" w:id="0">
    <w:p w14:paraId="7275E307" w14:textId="77777777" w:rsidR="00D47917" w:rsidRDefault="00D4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FE8D1" w14:textId="77777777" w:rsidR="00D47917" w:rsidRDefault="00D47917">
      <w:r>
        <w:separator/>
      </w:r>
    </w:p>
  </w:footnote>
  <w:footnote w:type="continuationSeparator" w:id="0">
    <w:p w14:paraId="0E5EF9F3" w14:textId="77777777" w:rsidR="00D47917" w:rsidRDefault="00D4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0709D"/>
    <w:rsid w:val="000108A5"/>
    <w:rsid w:val="000110CA"/>
    <w:rsid w:val="0002029E"/>
    <w:rsid w:val="00022426"/>
    <w:rsid w:val="000244B9"/>
    <w:rsid w:val="00041A45"/>
    <w:rsid w:val="00052356"/>
    <w:rsid w:val="0005414B"/>
    <w:rsid w:val="000550C3"/>
    <w:rsid w:val="000562CC"/>
    <w:rsid w:val="0006005D"/>
    <w:rsid w:val="000758E4"/>
    <w:rsid w:val="00080BD8"/>
    <w:rsid w:val="000826E8"/>
    <w:rsid w:val="00082863"/>
    <w:rsid w:val="00084E10"/>
    <w:rsid w:val="00092064"/>
    <w:rsid w:val="000958CD"/>
    <w:rsid w:val="00097C0F"/>
    <w:rsid w:val="00097DA3"/>
    <w:rsid w:val="000A51C2"/>
    <w:rsid w:val="000A5F25"/>
    <w:rsid w:val="000A6661"/>
    <w:rsid w:val="000A73B4"/>
    <w:rsid w:val="000A78B3"/>
    <w:rsid w:val="000B4945"/>
    <w:rsid w:val="000B4B7C"/>
    <w:rsid w:val="000C117D"/>
    <w:rsid w:val="000C3EDF"/>
    <w:rsid w:val="000C6C27"/>
    <w:rsid w:val="000D00EB"/>
    <w:rsid w:val="000D0F0F"/>
    <w:rsid w:val="000E27B6"/>
    <w:rsid w:val="000E50CB"/>
    <w:rsid w:val="000E6E24"/>
    <w:rsid w:val="000F27E4"/>
    <w:rsid w:val="000F6499"/>
    <w:rsid w:val="000F74E8"/>
    <w:rsid w:val="00104F36"/>
    <w:rsid w:val="00113520"/>
    <w:rsid w:val="00117790"/>
    <w:rsid w:val="00122768"/>
    <w:rsid w:val="00130752"/>
    <w:rsid w:val="00132829"/>
    <w:rsid w:val="0014588E"/>
    <w:rsid w:val="00156D14"/>
    <w:rsid w:val="001573CC"/>
    <w:rsid w:val="001672D0"/>
    <w:rsid w:val="00167EE0"/>
    <w:rsid w:val="00173F33"/>
    <w:rsid w:val="00175E00"/>
    <w:rsid w:val="001807E4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265C7"/>
    <w:rsid w:val="002377D3"/>
    <w:rsid w:val="00240F28"/>
    <w:rsid w:val="002425D1"/>
    <w:rsid w:val="002456F4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1D49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00F48"/>
    <w:rsid w:val="00320D6D"/>
    <w:rsid w:val="00345DCB"/>
    <w:rsid w:val="00352109"/>
    <w:rsid w:val="00362624"/>
    <w:rsid w:val="00366BF7"/>
    <w:rsid w:val="00372FD0"/>
    <w:rsid w:val="00373DF5"/>
    <w:rsid w:val="00384C84"/>
    <w:rsid w:val="00385FD8"/>
    <w:rsid w:val="003B074E"/>
    <w:rsid w:val="003B197D"/>
    <w:rsid w:val="003B2C29"/>
    <w:rsid w:val="003B6A56"/>
    <w:rsid w:val="003C496F"/>
    <w:rsid w:val="003D37AB"/>
    <w:rsid w:val="003D3FFC"/>
    <w:rsid w:val="003D4A85"/>
    <w:rsid w:val="003F5CC4"/>
    <w:rsid w:val="003F6B73"/>
    <w:rsid w:val="004063EA"/>
    <w:rsid w:val="00410C5A"/>
    <w:rsid w:val="00412C47"/>
    <w:rsid w:val="00414B05"/>
    <w:rsid w:val="00414D66"/>
    <w:rsid w:val="00420EEA"/>
    <w:rsid w:val="0042570C"/>
    <w:rsid w:val="00425CB8"/>
    <w:rsid w:val="00430C06"/>
    <w:rsid w:val="0044475F"/>
    <w:rsid w:val="004634E1"/>
    <w:rsid w:val="00475A28"/>
    <w:rsid w:val="0047796D"/>
    <w:rsid w:val="0049344E"/>
    <w:rsid w:val="00493472"/>
    <w:rsid w:val="00495648"/>
    <w:rsid w:val="004A09CA"/>
    <w:rsid w:val="004A0E26"/>
    <w:rsid w:val="004A3823"/>
    <w:rsid w:val="004A585E"/>
    <w:rsid w:val="004B2367"/>
    <w:rsid w:val="004B34B7"/>
    <w:rsid w:val="004B592B"/>
    <w:rsid w:val="004C1778"/>
    <w:rsid w:val="004C21DD"/>
    <w:rsid w:val="004C4F67"/>
    <w:rsid w:val="004C6CC8"/>
    <w:rsid w:val="004C75DE"/>
    <w:rsid w:val="004D6DAE"/>
    <w:rsid w:val="004E13AB"/>
    <w:rsid w:val="004E4CD2"/>
    <w:rsid w:val="004E592A"/>
    <w:rsid w:val="004E6D91"/>
    <w:rsid w:val="004F5236"/>
    <w:rsid w:val="00513D13"/>
    <w:rsid w:val="00515F2B"/>
    <w:rsid w:val="00523D23"/>
    <w:rsid w:val="0052508B"/>
    <w:rsid w:val="00527164"/>
    <w:rsid w:val="00536B54"/>
    <w:rsid w:val="005405C7"/>
    <w:rsid w:val="00554A48"/>
    <w:rsid w:val="005627BF"/>
    <w:rsid w:val="005633A3"/>
    <w:rsid w:val="005667B3"/>
    <w:rsid w:val="0057127D"/>
    <w:rsid w:val="00573B9D"/>
    <w:rsid w:val="00573D6A"/>
    <w:rsid w:val="00575F65"/>
    <w:rsid w:val="00580513"/>
    <w:rsid w:val="00580839"/>
    <w:rsid w:val="00586DB5"/>
    <w:rsid w:val="00591701"/>
    <w:rsid w:val="00593049"/>
    <w:rsid w:val="005A3B27"/>
    <w:rsid w:val="005A4509"/>
    <w:rsid w:val="005D2D65"/>
    <w:rsid w:val="005D32B0"/>
    <w:rsid w:val="005D5673"/>
    <w:rsid w:val="005D58F8"/>
    <w:rsid w:val="005D6D4E"/>
    <w:rsid w:val="005F58CD"/>
    <w:rsid w:val="005F6B22"/>
    <w:rsid w:val="00600052"/>
    <w:rsid w:val="00600D1E"/>
    <w:rsid w:val="00601BCD"/>
    <w:rsid w:val="006027A0"/>
    <w:rsid w:val="00616346"/>
    <w:rsid w:val="00617BB7"/>
    <w:rsid w:val="00621725"/>
    <w:rsid w:val="00624B89"/>
    <w:rsid w:val="0063117C"/>
    <w:rsid w:val="00634CBD"/>
    <w:rsid w:val="00636F6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B0337"/>
    <w:rsid w:val="006C6BAE"/>
    <w:rsid w:val="006D0C6D"/>
    <w:rsid w:val="006D3B44"/>
    <w:rsid w:val="006E7B26"/>
    <w:rsid w:val="006F6175"/>
    <w:rsid w:val="0070429F"/>
    <w:rsid w:val="00705CAC"/>
    <w:rsid w:val="00710E40"/>
    <w:rsid w:val="00716D7E"/>
    <w:rsid w:val="0072022F"/>
    <w:rsid w:val="007265BE"/>
    <w:rsid w:val="00730239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217D"/>
    <w:rsid w:val="008270F5"/>
    <w:rsid w:val="00827A77"/>
    <w:rsid w:val="0083576D"/>
    <w:rsid w:val="0084298C"/>
    <w:rsid w:val="00845280"/>
    <w:rsid w:val="00860D41"/>
    <w:rsid w:val="0086361F"/>
    <w:rsid w:val="00863BAB"/>
    <w:rsid w:val="00873C96"/>
    <w:rsid w:val="00880FEF"/>
    <w:rsid w:val="0088409C"/>
    <w:rsid w:val="00886589"/>
    <w:rsid w:val="008A230B"/>
    <w:rsid w:val="008A313C"/>
    <w:rsid w:val="008B2713"/>
    <w:rsid w:val="008D113B"/>
    <w:rsid w:val="008D6EF9"/>
    <w:rsid w:val="008E4821"/>
    <w:rsid w:val="00901187"/>
    <w:rsid w:val="00904A9E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5711"/>
    <w:rsid w:val="00971839"/>
    <w:rsid w:val="009767E6"/>
    <w:rsid w:val="00980648"/>
    <w:rsid w:val="0098238B"/>
    <w:rsid w:val="00984C0E"/>
    <w:rsid w:val="00985923"/>
    <w:rsid w:val="00986A92"/>
    <w:rsid w:val="00987A9F"/>
    <w:rsid w:val="0099482B"/>
    <w:rsid w:val="009A7F2A"/>
    <w:rsid w:val="009B75B2"/>
    <w:rsid w:val="009C40E5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31B21"/>
    <w:rsid w:val="00A4089A"/>
    <w:rsid w:val="00A432DD"/>
    <w:rsid w:val="00A52516"/>
    <w:rsid w:val="00A601C1"/>
    <w:rsid w:val="00A6763B"/>
    <w:rsid w:val="00A70A29"/>
    <w:rsid w:val="00A72DC8"/>
    <w:rsid w:val="00A90A91"/>
    <w:rsid w:val="00A938A0"/>
    <w:rsid w:val="00AB24DA"/>
    <w:rsid w:val="00AB3D01"/>
    <w:rsid w:val="00AB4067"/>
    <w:rsid w:val="00AC1D6A"/>
    <w:rsid w:val="00AD13AE"/>
    <w:rsid w:val="00AD1BE6"/>
    <w:rsid w:val="00AE5E5F"/>
    <w:rsid w:val="00AE683D"/>
    <w:rsid w:val="00AF15E3"/>
    <w:rsid w:val="00AF6885"/>
    <w:rsid w:val="00AF7786"/>
    <w:rsid w:val="00AF7CDE"/>
    <w:rsid w:val="00B113AB"/>
    <w:rsid w:val="00B12738"/>
    <w:rsid w:val="00B146D3"/>
    <w:rsid w:val="00B23E77"/>
    <w:rsid w:val="00B31564"/>
    <w:rsid w:val="00B338AA"/>
    <w:rsid w:val="00B41104"/>
    <w:rsid w:val="00B53564"/>
    <w:rsid w:val="00B56DAB"/>
    <w:rsid w:val="00B701C9"/>
    <w:rsid w:val="00B70ACD"/>
    <w:rsid w:val="00B71D91"/>
    <w:rsid w:val="00B72C6D"/>
    <w:rsid w:val="00B73428"/>
    <w:rsid w:val="00B77B86"/>
    <w:rsid w:val="00B80DAC"/>
    <w:rsid w:val="00B835B8"/>
    <w:rsid w:val="00BA1AAF"/>
    <w:rsid w:val="00BB55D0"/>
    <w:rsid w:val="00BC0BFF"/>
    <w:rsid w:val="00BC3321"/>
    <w:rsid w:val="00BD0563"/>
    <w:rsid w:val="00BD5731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2748B"/>
    <w:rsid w:val="00C47614"/>
    <w:rsid w:val="00C60296"/>
    <w:rsid w:val="00C60958"/>
    <w:rsid w:val="00C653B9"/>
    <w:rsid w:val="00C74C77"/>
    <w:rsid w:val="00C74F10"/>
    <w:rsid w:val="00C7599B"/>
    <w:rsid w:val="00C772D6"/>
    <w:rsid w:val="00C83B04"/>
    <w:rsid w:val="00C85DD7"/>
    <w:rsid w:val="00C93BA6"/>
    <w:rsid w:val="00C943A4"/>
    <w:rsid w:val="00C97846"/>
    <w:rsid w:val="00CA187E"/>
    <w:rsid w:val="00CA3142"/>
    <w:rsid w:val="00CA5487"/>
    <w:rsid w:val="00CC06EB"/>
    <w:rsid w:val="00CC491E"/>
    <w:rsid w:val="00CC5D52"/>
    <w:rsid w:val="00CD0184"/>
    <w:rsid w:val="00CD1C3F"/>
    <w:rsid w:val="00CD74B5"/>
    <w:rsid w:val="00CE1237"/>
    <w:rsid w:val="00CE1DF0"/>
    <w:rsid w:val="00CF1345"/>
    <w:rsid w:val="00CF77E0"/>
    <w:rsid w:val="00D05DD1"/>
    <w:rsid w:val="00D0744F"/>
    <w:rsid w:val="00D10C0D"/>
    <w:rsid w:val="00D15D22"/>
    <w:rsid w:val="00D2729E"/>
    <w:rsid w:val="00D27CB2"/>
    <w:rsid w:val="00D30D91"/>
    <w:rsid w:val="00D47917"/>
    <w:rsid w:val="00D72FAD"/>
    <w:rsid w:val="00D82E11"/>
    <w:rsid w:val="00D835DB"/>
    <w:rsid w:val="00D84F24"/>
    <w:rsid w:val="00D86318"/>
    <w:rsid w:val="00D9315D"/>
    <w:rsid w:val="00D96E29"/>
    <w:rsid w:val="00DA6304"/>
    <w:rsid w:val="00DB2FFD"/>
    <w:rsid w:val="00DB5FC1"/>
    <w:rsid w:val="00DC5D39"/>
    <w:rsid w:val="00DC6A76"/>
    <w:rsid w:val="00DC71FB"/>
    <w:rsid w:val="00DD0740"/>
    <w:rsid w:val="00DD4D66"/>
    <w:rsid w:val="00DE0357"/>
    <w:rsid w:val="00DE1323"/>
    <w:rsid w:val="00DE68B2"/>
    <w:rsid w:val="00DE7FA4"/>
    <w:rsid w:val="00DF0125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672D1"/>
    <w:rsid w:val="00E73674"/>
    <w:rsid w:val="00E75737"/>
    <w:rsid w:val="00E7677B"/>
    <w:rsid w:val="00E872C2"/>
    <w:rsid w:val="00E902AC"/>
    <w:rsid w:val="00E919CF"/>
    <w:rsid w:val="00EA5B58"/>
    <w:rsid w:val="00EB4C16"/>
    <w:rsid w:val="00EB51A9"/>
    <w:rsid w:val="00EB623C"/>
    <w:rsid w:val="00EC23FC"/>
    <w:rsid w:val="00EC3993"/>
    <w:rsid w:val="00EC7C08"/>
    <w:rsid w:val="00EC7D49"/>
    <w:rsid w:val="00ED24F6"/>
    <w:rsid w:val="00ED3C29"/>
    <w:rsid w:val="00EE3E8F"/>
    <w:rsid w:val="00EE60F9"/>
    <w:rsid w:val="00F05668"/>
    <w:rsid w:val="00F1138D"/>
    <w:rsid w:val="00F21368"/>
    <w:rsid w:val="00F26B11"/>
    <w:rsid w:val="00F31269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9180B"/>
    <w:rsid w:val="00F92440"/>
    <w:rsid w:val="00F927DD"/>
    <w:rsid w:val="00F9424D"/>
    <w:rsid w:val="00F94602"/>
    <w:rsid w:val="00FA7DD7"/>
    <w:rsid w:val="00FB44E0"/>
    <w:rsid w:val="00FC3D54"/>
    <w:rsid w:val="00FC5CE7"/>
    <w:rsid w:val="00FD0501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BA1B176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2E18B-76DF-478B-B535-5A7B4862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358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59</cp:revision>
  <cp:lastPrinted>2024-02-20T12:47:00Z</cp:lastPrinted>
  <dcterms:created xsi:type="dcterms:W3CDTF">2024-05-16T08:55:00Z</dcterms:created>
  <dcterms:modified xsi:type="dcterms:W3CDTF">2025-05-13T11:43:00Z</dcterms:modified>
</cp:coreProperties>
</file>