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4D1A" w14:textId="78ABBB94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554BE4">
        <w:rPr>
          <w:b/>
          <w:i/>
        </w:rPr>
        <w:t>7</w:t>
      </w:r>
    </w:p>
    <w:p w14:paraId="4A5065A7" w14:textId="14B2AF19" w:rsidR="005304A6" w:rsidRDefault="00554BE4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PODMÍNKY DNSH</w:t>
      </w:r>
    </w:p>
    <w:p w14:paraId="1FF2F4B0" w14:textId="22A81632" w:rsidR="00554BE4" w:rsidRPr="00554BE4" w:rsidRDefault="00554BE4" w:rsidP="00053DE5">
      <w:pPr>
        <w:widowControl w:val="0"/>
        <w:spacing w:after="0" w:line="264" w:lineRule="auto"/>
        <w:jc w:val="center"/>
        <w:rPr>
          <w:rFonts w:cs="Calibri"/>
          <w:b/>
          <w:i/>
          <w:iCs/>
          <w:sz w:val="28"/>
          <w:szCs w:val="28"/>
        </w:rPr>
      </w:pPr>
      <w:r w:rsidRPr="00554BE4">
        <w:rPr>
          <w:rFonts w:cs="Calibri"/>
          <w:b/>
          <w:i/>
          <w:iCs/>
          <w:sz w:val="28"/>
          <w:szCs w:val="28"/>
        </w:rPr>
        <w:t>(„</w:t>
      </w:r>
      <w:r w:rsidRPr="00554BE4">
        <w:rPr>
          <w:rFonts w:cs="Calibri"/>
          <w:b/>
          <w:i/>
          <w:iCs/>
          <w:color w:val="000000"/>
          <w:sz w:val="28"/>
          <w:szCs w:val="28"/>
        </w:rPr>
        <w:t xml:space="preserve">Do no </w:t>
      </w:r>
      <w:proofErr w:type="spellStart"/>
      <w:r w:rsidRPr="00554BE4">
        <w:rPr>
          <w:rFonts w:cs="Calibri"/>
          <w:b/>
          <w:i/>
          <w:iCs/>
          <w:color w:val="000000"/>
          <w:sz w:val="28"/>
          <w:szCs w:val="28"/>
        </w:rPr>
        <w:t>significant</w:t>
      </w:r>
      <w:proofErr w:type="spellEnd"/>
      <w:r w:rsidRPr="00554BE4">
        <w:rPr>
          <w:rFonts w:cs="Calibri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554BE4">
        <w:rPr>
          <w:rFonts w:cs="Calibri"/>
          <w:b/>
          <w:i/>
          <w:iCs/>
          <w:color w:val="000000"/>
          <w:sz w:val="28"/>
          <w:szCs w:val="28"/>
        </w:rPr>
        <w:t>harm</w:t>
      </w:r>
      <w:proofErr w:type="spellEnd"/>
      <w:r w:rsidRPr="00554BE4">
        <w:rPr>
          <w:rFonts w:cs="Calibri"/>
          <w:b/>
          <w:i/>
          <w:iCs/>
          <w:sz w:val="28"/>
          <w:szCs w:val="28"/>
        </w:rPr>
        <w:t>“)</w:t>
      </w:r>
    </w:p>
    <w:p w14:paraId="713DE8B1" w14:textId="77777777" w:rsidR="00844D08" w:rsidRDefault="00844D08" w:rsidP="00844D08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B93403" w:rsidRPr="00F33CF0" w14:paraId="7A6A2416" w14:textId="77777777" w:rsidTr="00B93403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4C655" w14:textId="77777777" w:rsidR="00B93403" w:rsidRPr="004A786A" w:rsidRDefault="00B93403" w:rsidP="00554BE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2E2F" w14:textId="77777777" w:rsidR="00B93403" w:rsidRPr="004D03A5" w:rsidRDefault="00B93403" w:rsidP="00554BE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2F028E2D" w14:textId="77777777" w:rsidR="00B93403" w:rsidRPr="004D03A5" w:rsidRDefault="00B93403" w:rsidP="00554B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5C12909E" w14:textId="10152AAB" w:rsidR="00B93403" w:rsidRDefault="00B93403" w:rsidP="00554BE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B93403" w:rsidRPr="00D73E8E" w14:paraId="030B595A" w14:textId="77777777" w:rsidTr="00B93403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760A5" w14:textId="77777777" w:rsidR="00B93403" w:rsidRDefault="00B93403" w:rsidP="00554BE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8A1B" w14:textId="17129F31" w:rsidR="00B93403" w:rsidRDefault="00B93403" w:rsidP="00554B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B93403" w:rsidRPr="00047FD1" w14:paraId="7E073B1A" w14:textId="77777777" w:rsidTr="00B93403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F77AF" w14:textId="77777777" w:rsidR="00B93403" w:rsidRPr="00F33CF0" w:rsidRDefault="00B93403" w:rsidP="00554BE4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6257" w14:textId="3D8901E2" w:rsidR="00B93403" w:rsidRPr="00915D5A" w:rsidRDefault="00B93403" w:rsidP="00554BE4">
            <w:pPr>
              <w:spacing w:after="0" w:line="240" w:lineRule="auto"/>
              <w:rPr>
                <w:rFonts w:eastAsia="CenturyGothic" w:cstheme="minorHAnsi"/>
                <w:b/>
                <w:i/>
              </w:rPr>
            </w:pPr>
            <w:r w:rsidRPr="00826884">
              <w:rPr>
                <w:rFonts w:cstheme="minorHAnsi"/>
                <w:b/>
                <w:bCs/>
              </w:rPr>
              <w:t>Rozšíření ZŠ Údlice – příprava projektové dokumentace</w:t>
            </w:r>
          </w:p>
        </w:tc>
      </w:tr>
    </w:tbl>
    <w:p w14:paraId="33B2F1C1" w14:textId="05292D82" w:rsidR="005730BF" w:rsidRPr="00554BE4" w:rsidRDefault="005730BF" w:rsidP="00554BE4">
      <w:pPr>
        <w:widowControl w:val="0"/>
        <w:spacing w:after="0" w:line="264" w:lineRule="auto"/>
        <w:rPr>
          <w:rFonts w:cs="Calibri"/>
          <w:iCs/>
        </w:rPr>
      </w:pPr>
    </w:p>
    <w:p w14:paraId="4505C15F" w14:textId="4F1FD427" w:rsidR="00554BE4" w:rsidRDefault="00554BE4" w:rsidP="00554BE4">
      <w:pPr>
        <w:widowControl w:val="0"/>
        <w:spacing w:after="0" w:line="240" w:lineRule="auto"/>
        <w:rPr>
          <w:rFonts w:cs="Calibri"/>
          <w:iCs/>
        </w:rPr>
      </w:pPr>
      <w:r w:rsidRPr="00554BE4">
        <w:rPr>
          <w:rFonts w:cs="Calibri"/>
          <w:iCs/>
        </w:rPr>
        <w:t>Způsobi</w:t>
      </w:r>
      <w:r>
        <w:rPr>
          <w:rFonts w:cs="Calibri"/>
          <w:iCs/>
        </w:rPr>
        <w:t>lými výdaji nejsou zejm. mj.:</w:t>
      </w:r>
    </w:p>
    <w:p w14:paraId="05BC1A43" w14:textId="77777777" w:rsidR="00554BE4" w:rsidRDefault="00554BE4" w:rsidP="00554BE4">
      <w:pPr>
        <w:widowControl w:val="0"/>
        <w:spacing w:after="0" w:line="240" w:lineRule="auto"/>
        <w:rPr>
          <w:rFonts w:cs="Calibri"/>
          <w:iCs/>
        </w:rPr>
      </w:pPr>
    </w:p>
    <w:p w14:paraId="1BA30A09" w14:textId="77777777" w:rsidR="00554BE4" w:rsidRDefault="00554BE4" w:rsidP="00554BE4">
      <w:pPr>
        <w:widowControl w:val="0"/>
        <w:numPr>
          <w:ilvl w:val="0"/>
          <w:numId w:val="12"/>
        </w:numPr>
        <w:spacing w:after="0" w:line="240" w:lineRule="auto"/>
        <w:ind w:left="426"/>
        <w:rPr>
          <w:rFonts w:cs="Calibri"/>
          <w:iCs/>
        </w:rPr>
      </w:pPr>
      <w:r w:rsidRPr="00554BE4">
        <w:rPr>
          <w:rFonts w:cs="Calibri"/>
          <w:iCs/>
        </w:rPr>
        <w:t>investice do výroby, zpracování, přepravy, distribuce, skladování nebo spalování fosilních paliv včetně investic do materiálního využití fosilních paliv;</w:t>
      </w:r>
    </w:p>
    <w:p w14:paraId="18E9DD6A" w14:textId="77777777" w:rsidR="00554BE4" w:rsidRPr="00554BE4" w:rsidRDefault="00554BE4" w:rsidP="00554BE4">
      <w:pPr>
        <w:widowControl w:val="0"/>
        <w:spacing w:after="0" w:line="240" w:lineRule="auto"/>
        <w:ind w:left="426"/>
        <w:rPr>
          <w:rFonts w:cs="Calibri"/>
          <w:iCs/>
        </w:rPr>
      </w:pPr>
    </w:p>
    <w:p w14:paraId="58C4CB97" w14:textId="77777777" w:rsidR="00554BE4" w:rsidRDefault="00554BE4" w:rsidP="00554BE4">
      <w:pPr>
        <w:widowControl w:val="0"/>
        <w:numPr>
          <w:ilvl w:val="0"/>
          <w:numId w:val="12"/>
        </w:numPr>
        <w:spacing w:after="0" w:line="240" w:lineRule="auto"/>
        <w:ind w:left="426"/>
        <w:rPr>
          <w:rFonts w:cs="Calibri"/>
          <w:iCs/>
        </w:rPr>
      </w:pPr>
      <w:r w:rsidRPr="00554BE4">
        <w:rPr>
          <w:rFonts w:cs="Calibri"/>
          <w:iCs/>
        </w:rPr>
        <w:t>náklady na nové spotřebiče, které nesplňují nejvyšší dostupnou energetickou třídu dle příslušné legislativy pro daný typ spotřebiče;</w:t>
      </w:r>
    </w:p>
    <w:p w14:paraId="502C1C2E" w14:textId="77777777" w:rsidR="00554BE4" w:rsidRPr="00554BE4" w:rsidRDefault="00554BE4" w:rsidP="00554BE4">
      <w:pPr>
        <w:widowControl w:val="0"/>
        <w:spacing w:after="0" w:line="240" w:lineRule="auto"/>
        <w:rPr>
          <w:rFonts w:cs="Calibri"/>
          <w:iCs/>
        </w:rPr>
      </w:pPr>
    </w:p>
    <w:p w14:paraId="10C35545" w14:textId="77777777" w:rsidR="00554BE4" w:rsidRDefault="00554BE4" w:rsidP="00554BE4">
      <w:pPr>
        <w:widowControl w:val="0"/>
        <w:numPr>
          <w:ilvl w:val="0"/>
          <w:numId w:val="12"/>
        </w:numPr>
        <w:spacing w:after="0" w:line="240" w:lineRule="auto"/>
        <w:ind w:left="426"/>
        <w:rPr>
          <w:rFonts w:cs="Calibri"/>
          <w:iCs/>
        </w:rPr>
      </w:pPr>
      <w:r w:rsidRPr="00554BE4">
        <w:rPr>
          <w:rFonts w:cs="Calibri"/>
          <w:iCs/>
        </w:rPr>
        <w:t>náklady na výměnu zdroje energie bez toho, že budovat bude po realizaci projektu plnit minimálně parametry energetické náročnosti definované národní legislativou (§ 6 odst. 2 vyhlášky č.264/2020 Sb., o energetické náročnosti budov);</w:t>
      </w:r>
    </w:p>
    <w:p w14:paraId="613CB3EC" w14:textId="77777777" w:rsidR="00554BE4" w:rsidRPr="00554BE4" w:rsidRDefault="00554BE4" w:rsidP="00554BE4">
      <w:pPr>
        <w:widowControl w:val="0"/>
        <w:spacing w:after="0" w:line="240" w:lineRule="auto"/>
        <w:rPr>
          <w:rFonts w:cs="Calibri"/>
          <w:iCs/>
        </w:rPr>
      </w:pPr>
    </w:p>
    <w:p w14:paraId="30AB03BF" w14:textId="77777777" w:rsidR="00554BE4" w:rsidRPr="00554BE4" w:rsidRDefault="00554BE4" w:rsidP="00554BE4">
      <w:pPr>
        <w:widowControl w:val="0"/>
        <w:numPr>
          <w:ilvl w:val="0"/>
          <w:numId w:val="12"/>
        </w:numPr>
        <w:spacing w:after="0" w:line="240" w:lineRule="auto"/>
        <w:ind w:left="426"/>
        <w:rPr>
          <w:rFonts w:cs="Calibri"/>
          <w:iCs/>
        </w:rPr>
      </w:pPr>
      <w:r w:rsidRPr="00554BE4">
        <w:rPr>
          <w:rFonts w:cs="Calibri"/>
          <w:iCs/>
        </w:rPr>
        <w:t>náklady na zařízení využívajících vodu, které nesplňují následující podmínky:</w:t>
      </w:r>
    </w:p>
    <w:p w14:paraId="2BBB7B66" w14:textId="77777777" w:rsidR="00554BE4" w:rsidRPr="00554BE4" w:rsidRDefault="00554BE4" w:rsidP="00554BE4">
      <w:pPr>
        <w:widowControl w:val="0"/>
        <w:numPr>
          <w:ilvl w:val="1"/>
          <w:numId w:val="12"/>
        </w:numPr>
        <w:spacing w:after="0" w:line="240" w:lineRule="auto"/>
        <w:ind w:left="851"/>
        <w:rPr>
          <w:rFonts w:cs="Calibri"/>
          <w:iCs/>
        </w:rPr>
      </w:pPr>
      <w:r w:rsidRPr="00554BE4">
        <w:rPr>
          <w:rFonts w:cs="Calibri"/>
          <w:iCs/>
        </w:rPr>
        <w:t>sprchy mají maximální průtok vody 8 l/min;</w:t>
      </w:r>
    </w:p>
    <w:p w14:paraId="5279B6B2" w14:textId="77777777" w:rsidR="00554BE4" w:rsidRPr="00554BE4" w:rsidRDefault="00554BE4" w:rsidP="00554BE4">
      <w:pPr>
        <w:widowControl w:val="0"/>
        <w:numPr>
          <w:ilvl w:val="1"/>
          <w:numId w:val="12"/>
        </w:numPr>
        <w:spacing w:after="0" w:line="240" w:lineRule="auto"/>
        <w:ind w:left="851"/>
        <w:rPr>
          <w:rFonts w:cs="Calibri"/>
          <w:iCs/>
        </w:rPr>
      </w:pPr>
      <w:r w:rsidRPr="00554BE4">
        <w:rPr>
          <w:rFonts w:cs="Calibri"/>
          <w:iCs/>
        </w:rPr>
        <w:t>WC, zahrnující soupravy, mísy a splachovací nádrže, mají úplný objem splachovací vody maximálně 6 l. a maximální průměrný objem splachovací vody 3,5l;</w:t>
      </w:r>
    </w:p>
    <w:p w14:paraId="22629ED0" w14:textId="77777777" w:rsidR="00554BE4" w:rsidRPr="00554BE4" w:rsidRDefault="00554BE4" w:rsidP="00554BE4">
      <w:pPr>
        <w:widowControl w:val="0"/>
        <w:numPr>
          <w:ilvl w:val="1"/>
          <w:numId w:val="12"/>
        </w:numPr>
        <w:spacing w:after="0" w:line="240" w:lineRule="auto"/>
        <w:ind w:left="851"/>
        <w:rPr>
          <w:rFonts w:cs="Calibri"/>
          <w:iCs/>
        </w:rPr>
      </w:pPr>
      <w:r w:rsidRPr="00554BE4">
        <w:rPr>
          <w:rFonts w:cs="Calibri"/>
          <w:iCs/>
        </w:rPr>
        <w:t>pisoáry spotřebují maximálně 2 l/mísu/hodinu. Splachovací pisoáry mají maximální úplný objem splachovací vody 1 l;</w:t>
      </w:r>
    </w:p>
    <w:p w14:paraId="3C73445D" w14:textId="77777777" w:rsidR="00554BE4" w:rsidRDefault="00554BE4" w:rsidP="00554BE4">
      <w:pPr>
        <w:widowControl w:val="0"/>
        <w:numPr>
          <w:ilvl w:val="1"/>
          <w:numId w:val="12"/>
        </w:numPr>
        <w:spacing w:after="0" w:line="240" w:lineRule="auto"/>
        <w:ind w:left="851"/>
        <w:rPr>
          <w:rFonts w:cs="Calibri"/>
          <w:iCs/>
        </w:rPr>
      </w:pPr>
      <w:r w:rsidRPr="00554BE4">
        <w:rPr>
          <w:rFonts w:cs="Calibri"/>
          <w:iCs/>
        </w:rPr>
        <w:t>umyvadlové baterie a kuchyňské baterie mají maximální průtok 6 l/min.</w:t>
      </w:r>
    </w:p>
    <w:p w14:paraId="79B787E5" w14:textId="77777777" w:rsidR="00554BE4" w:rsidRPr="00554BE4" w:rsidRDefault="00554BE4" w:rsidP="00554BE4">
      <w:pPr>
        <w:widowControl w:val="0"/>
        <w:spacing w:after="0" w:line="240" w:lineRule="auto"/>
        <w:ind w:left="491"/>
        <w:rPr>
          <w:rFonts w:cs="Calibri"/>
          <w:iCs/>
        </w:rPr>
      </w:pPr>
    </w:p>
    <w:p w14:paraId="2D128378" w14:textId="77777777" w:rsidR="00554BE4" w:rsidRDefault="00554BE4" w:rsidP="00554BE4">
      <w:pPr>
        <w:widowControl w:val="0"/>
        <w:numPr>
          <w:ilvl w:val="0"/>
          <w:numId w:val="12"/>
        </w:numPr>
        <w:spacing w:after="0" w:line="240" w:lineRule="auto"/>
        <w:ind w:left="426"/>
        <w:rPr>
          <w:rFonts w:cs="Calibri"/>
          <w:iCs/>
        </w:rPr>
      </w:pPr>
      <w:r w:rsidRPr="00554BE4">
        <w:rPr>
          <w:rFonts w:cs="Calibri"/>
          <w:iCs/>
        </w:rPr>
        <w:t xml:space="preserve">náklady na zařízení bateriové akumulace pro obnovitelné zdroje energie, které jsou na bázi olova, </w:t>
      </w:r>
      <w:proofErr w:type="spellStart"/>
      <w:r w:rsidRPr="00554BE4">
        <w:rPr>
          <w:rFonts w:cs="Calibri"/>
          <w:iCs/>
        </w:rPr>
        <w:t>NiCd</w:t>
      </w:r>
      <w:proofErr w:type="spellEnd"/>
      <w:r w:rsidRPr="00554BE4">
        <w:rPr>
          <w:rFonts w:cs="Calibri"/>
          <w:iCs/>
        </w:rPr>
        <w:t xml:space="preserve"> a </w:t>
      </w:r>
      <w:proofErr w:type="spellStart"/>
      <w:r w:rsidRPr="00554BE4">
        <w:rPr>
          <w:rFonts w:cs="Calibri"/>
          <w:iCs/>
        </w:rPr>
        <w:t>NiMH</w:t>
      </w:r>
      <w:proofErr w:type="spellEnd"/>
      <w:r w:rsidRPr="00554BE4">
        <w:rPr>
          <w:rFonts w:cs="Calibri"/>
          <w:iCs/>
        </w:rPr>
        <w:t>;</w:t>
      </w:r>
    </w:p>
    <w:p w14:paraId="46A9A7F5" w14:textId="77777777" w:rsidR="00554BE4" w:rsidRPr="00554BE4" w:rsidRDefault="00554BE4" w:rsidP="00554BE4">
      <w:pPr>
        <w:widowControl w:val="0"/>
        <w:spacing w:after="0" w:line="240" w:lineRule="auto"/>
        <w:ind w:left="66"/>
        <w:rPr>
          <w:rFonts w:cs="Calibri"/>
          <w:iCs/>
        </w:rPr>
      </w:pPr>
    </w:p>
    <w:p w14:paraId="3A4A6AB6" w14:textId="77777777" w:rsidR="00554BE4" w:rsidRPr="00554BE4" w:rsidRDefault="00554BE4" w:rsidP="00554BE4">
      <w:pPr>
        <w:widowControl w:val="0"/>
        <w:numPr>
          <w:ilvl w:val="0"/>
          <w:numId w:val="12"/>
        </w:numPr>
        <w:spacing w:after="0" w:line="240" w:lineRule="auto"/>
        <w:ind w:left="426"/>
        <w:rPr>
          <w:rFonts w:cs="Calibri"/>
          <w:iCs/>
        </w:rPr>
      </w:pPr>
      <w:r w:rsidRPr="00554BE4">
        <w:rPr>
          <w:rFonts w:cs="Calibri"/>
          <w:iCs/>
        </w:rPr>
        <w:t>náklady na pořízení kotlů na biomasu, které nesplňují následující podmínky:</w:t>
      </w:r>
    </w:p>
    <w:p w14:paraId="53EC92F8" w14:textId="77777777" w:rsidR="00554BE4" w:rsidRPr="00554BE4" w:rsidRDefault="00554BE4" w:rsidP="00554BE4">
      <w:pPr>
        <w:widowControl w:val="0"/>
        <w:numPr>
          <w:ilvl w:val="1"/>
          <w:numId w:val="12"/>
        </w:numPr>
        <w:spacing w:after="0" w:line="240" w:lineRule="auto"/>
        <w:ind w:left="851"/>
        <w:rPr>
          <w:rFonts w:cs="Calibri"/>
          <w:iCs/>
        </w:rPr>
      </w:pPr>
      <w:r w:rsidRPr="00554BE4">
        <w:rPr>
          <w:rFonts w:cs="Calibri"/>
          <w:iCs/>
        </w:rPr>
        <w:t>jsou v souladu s kritérii udržitelnosti a úspor emisí skleníkových plynů stanovenými v článku 29 směrnice (EU) 2018/2001 o podpoře využívání energie z obnovitelných zdrojů („směrnice o obnovitelných zdrojích energie“, „RED II“). Tyto požadavky se budou vztahovat na všechna zařízení bez ohledu na prahové hodnoty uvedené ve směrnici RED II</w:t>
      </w:r>
      <w:r w:rsidRPr="00554BE4">
        <w:rPr>
          <w:rFonts w:cs="Calibri"/>
          <w:iCs/>
          <w:vertAlign w:val="superscript"/>
        </w:rPr>
        <w:footnoteReference w:id="1"/>
      </w:r>
      <w:r w:rsidRPr="00554BE4">
        <w:rPr>
          <w:rFonts w:cs="Calibri"/>
          <w:iCs/>
        </w:rPr>
        <w:t>;</w:t>
      </w:r>
    </w:p>
    <w:p w14:paraId="35CF1F8B" w14:textId="77777777" w:rsidR="00554BE4" w:rsidRDefault="00554BE4" w:rsidP="00554BE4">
      <w:pPr>
        <w:widowControl w:val="0"/>
        <w:numPr>
          <w:ilvl w:val="1"/>
          <w:numId w:val="12"/>
        </w:numPr>
        <w:spacing w:after="0" w:line="240" w:lineRule="auto"/>
        <w:ind w:left="851"/>
        <w:rPr>
          <w:rFonts w:cs="Calibri"/>
          <w:iCs/>
        </w:rPr>
      </w:pPr>
      <w:r w:rsidRPr="00554BE4">
        <w:rPr>
          <w:rFonts w:cs="Calibri"/>
          <w:iCs/>
        </w:rPr>
        <w:t>jsou v souladu s posouzením trajektorií udržitelného využívání bioenergie a dodávek biomasy v Česku a jeho dopadů na využití půdy, změny ve využití půdy, lesní propady uhlíku a biologickou rozmanitost, jakož i vlivu na kvalitu ovzduší;</w:t>
      </w:r>
    </w:p>
    <w:p w14:paraId="2CB73783" w14:textId="77777777" w:rsidR="00554BE4" w:rsidRPr="00554BE4" w:rsidRDefault="00554BE4" w:rsidP="00554BE4">
      <w:pPr>
        <w:widowControl w:val="0"/>
        <w:spacing w:after="0" w:line="240" w:lineRule="auto"/>
        <w:ind w:left="491"/>
        <w:rPr>
          <w:rFonts w:cs="Calibri"/>
          <w:iCs/>
        </w:rPr>
      </w:pPr>
    </w:p>
    <w:p w14:paraId="65F9DD1A" w14:textId="77777777" w:rsidR="00554BE4" w:rsidRPr="00554BE4" w:rsidRDefault="00554BE4" w:rsidP="00554BE4">
      <w:pPr>
        <w:widowControl w:val="0"/>
        <w:numPr>
          <w:ilvl w:val="0"/>
          <w:numId w:val="12"/>
        </w:numPr>
        <w:spacing w:after="0" w:line="240" w:lineRule="auto"/>
        <w:ind w:left="426"/>
        <w:rPr>
          <w:rFonts w:cs="Calibri"/>
          <w:iCs/>
        </w:rPr>
      </w:pPr>
      <w:r w:rsidRPr="00554BE4">
        <w:rPr>
          <w:rFonts w:cs="Calibri"/>
          <w:iCs/>
        </w:rPr>
        <w:t>náklady na výsadbu zeleně, které nesplňují následující podmínku:</w:t>
      </w:r>
    </w:p>
    <w:p w14:paraId="163D0F2C" w14:textId="180F7162" w:rsidR="00554BE4" w:rsidRPr="00554BE4" w:rsidRDefault="00554BE4" w:rsidP="00554BE4">
      <w:pPr>
        <w:widowControl w:val="0"/>
        <w:numPr>
          <w:ilvl w:val="1"/>
          <w:numId w:val="12"/>
        </w:numPr>
        <w:spacing w:after="0" w:line="240" w:lineRule="auto"/>
        <w:ind w:left="851"/>
        <w:rPr>
          <w:rFonts w:cs="Calibri"/>
          <w:iCs/>
        </w:rPr>
      </w:pPr>
      <w:r w:rsidRPr="00554BE4">
        <w:rPr>
          <w:rFonts w:cs="Calibri"/>
          <w:iCs/>
        </w:rPr>
        <w:t>při výsadbě zeleně se použijí pouze stanovištně vhodné dřeviny, které zajistí odolnost vůči klimatu a zároveň nebudou mít negativní dopad z pohledu biologické rozmanitosti.</w:t>
      </w:r>
    </w:p>
    <w:sectPr w:rsidR="00554BE4" w:rsidRPr="00554BE4" w:rsidSect="00F522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D36F" w14:textId="77777777" w:rsidR="0080697A" w:rsidRDefault="0080697A" w:rsidP="00406E89">
      <w:pPr>
        <w:spacing w:after="0" w:line="240" w:lineRule="auto"/>
      </w:pPr>
      <w:r>
        <w:separator/>
      </w:r>
    </w:p>
  </w:endnote>
  <w:endnote w:type="continuationSeparator" w:id="0">
    <w:p w14:paraId="41ACFD5F" w14:textId="77777777" w:rsidR="0080697A" w:rsidRDefault="0080697A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E7B9" w14:textId="77777777" w:rsidR="0062060D" w:rsidRDefault="006206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5072" w14:textId="77777777" w:rsidR="0062060D" w:rsidRDefault="006206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0744" w14:textId="77777777" w:rsidR="0062060D" w:rsidRDefault="00620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5BFA" w14:textId="77777777" w:rsidR="0080697A" w:rsidRDefault="0080697A" w:rsidP="00406E89">
      <w:pPr>
        <w:spacing w:after="0" w:line="240" w:lineRule="auto"/>
      </w:pPr>
      <w:r>
        <w:separator/>
      </w:r>
    </w:p>
  </w:footnote>
  <w:footnote w:type="continuationSeparator" w:id="0">
    <w:p w14:paraId="6C1F9B98" w14:textId="77777777" w:rsidR="0080697A" w:rsidRDefault="0080697A" w:rsidP="00406E89">
      <w:pPr>
        <w:spacing w:after="0" w:line="240" w:lineRule="auto"/>
      </w:pPr>
      <w:r>
        <w:continuationSeparator/>
      </w:r>
    </w:p>
  </w:footnote>
  <w:footnote w:id="1">
    <w:p w14:paraId="5D25D8EB" w14:textId="77777777" w:rsidR="00554BE4" w:rsidRDefault="00554BE4" w:rsidP="00554BE4">
      <w:pPr>
        <w:pStyle w:val="Textpoznpodarou"/>
        <w:rPr>
          <w:rFonts w:ascii="Segoe UI" w:hAnsi="Segoe UI"/>
          <w:sz w:val="16"/>
        </w:rPr>
      </w:pPr>
      <w:r>
        <w:rPr>
          <w:rStyle w:val="Znakapoznpodarou"/>
        </w:rPr>
        <w:footnoteRef/>
      </w:r>
      <w:r>
        <w:t xml:space="preserve">   a dále ve znění vyhlášky č. 110/2022 Sb. o stanovení druhů a parametrů podporovaných obnovitelných zdrojů a kritérií udržitelnosti a úspory emisí skleníkových plynů pro </w:t>
      </w:r>
      <w:proofErr w:type="spellStart"/>
      <w:r>
        <w:t>biokapaliny</w:t>
      </w:r>
      <w:proofErr w:type="spellEnd"/>
      <w:r>
        <w:t xml:space="preserve"> a paliva z biomasy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A15B" w14:textId="77777777" w:rsidR="0062060D" w:rsidRDefault="006206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D5D6" w14:textId="24278041" w:rsidR="00F4280B" w:rsidRDefault="00554BE4" w:rsidP="00F4280B">
    <w:pPr>
      <w:pStyle w:val="Zhlav"/>
      <w:tabs>
        <w:tab w:val="clear" w:pos="4536"/>
        <w:tab w:val="clear" w:pos="9072"/>
        <w:tab w:val="left" w:pos="3114"/>
      </w:tabs>
    </w:pPr>
    <w:r>
      <w:rPr>
        <w:noProof/>
      </w:rPr>
      <w:drawing>
        <wp:inline distT="0" distB="0" distL="0" distR="0" wp14:anchorId="1A700E9D" wp14:editId="57ED5E12">
          <wp:extent cx="5719445" cy="415856"/>
          <wp:effectExtent l="0" t="0" r="0" b="381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ECD2A6" w14:textId="77777777" w:rsidR="00554BE4" w:rsidRDefault="00554BE4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1A8C" w14:textId="77777777" w:rsidR="0062060D" w:rsidRDefault="00620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97CA2"/>
    <w:multiLevelType w:val="multilevel"/>
    <w:tmpl w:val="6BBA42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69064">
    <w:abstractNumId w:val="6"/>
  </w:num>
  <w:num w:numId="2" w16cid:durableId="847794935">
    <w:abstractNumId w:val="5"/>
  </w:num>
  <w:num w:numId="3" w16cid:durableId="1177038175">
    <w:abstractNumId w:val="10"/>
  </w:num>
  <w:num w:numId="4" w16cid:durableId="1461725171">
    <w:abstractNumId w:val="4"/>
  </w:num>
  <w:num w:numId="5" w16cid:durableId="1890993895">
    <w:abstractNumId w:val="2"/>
  </w:num>
  <w:num w:numId="6" w16cid:durableId="127669840">
    <w:abstractNumId w:val="1"/>
  </w:num>
  <w:num w:numId="7" w16cid:durableId="284385512">
    <w:abstractNumId w:val="8"/>
  </w:num>
  <w:num w:numId="8" w16cid:durableId="1009721278">
    <w:abstractNumId w:val="0"/>
  </w:num>
  <w:num w:numId="9" w16cid:durableId="31198776">
    <w:abstractNumId w:val="3"/>
  </w:num>
  <w:num w:numId="10" w16cid:durableId="1082142960">
    <w:abstractNumId w:val="9"/>
  </w:num>
  <w:num w:numId="11" w16cid:durableId="2147235428">
    <w:abstractNumId w:val="7"/>
  </w:num>
  <w:num w:numId="12" w16cid:durableId="16066928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173B8"/>
    <w:rsid w:val="00023F59"/>
    <w:rsid w:val="00047FD1"/>
    <w:rsid w:val="00053DE5"/>
    <w:rsid w:val="00061376"/>
    <w:rsid w:val="000651D3"/>
    <w:rsid w:val="00077440"/>
    <w:rsid w:val="00127955"/>
    <w:rsid w:val="00135A89"/>
    <w:rsid w:val="00143EE8"/>
    <w:rsid w:val="00154669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127BC"/>
    <w:rsid w:val="00212BB9"/>
    <w:rsid w:val="00222151"/>
    <w:rsid w:val="0023064D"/>
    <w:rsid w:val="00231090"/>
    <w:rsid w:val="00233528"/>
    <w:rsid w:val="00250B39"/>
    <w:rsid w:val="00273EAB"/>
    <w:rsid w:val="00280232"/>
    <w:rsid w:val="0028306C"/>
    <w:rsid w:val="002852F4"/>
    <w:rsid w:val="002F72A0"/>
    <w:rsid w:val="00305BE7"/>
    <w:rsid w:val="00312EE9"/>
    <w:rsid w:val="00360A74"/>
    <w:rsid w:val="00387D73"/>
    <w:rsid w:val="003B66A8"/>
    <w:rsid w:val="003B735C"/>
    <w:rsid w:val="003E005A"/>
    <w:rsid w:val="003E67CB"/>
    <w:rsid w:val="004028EF"/>
    <w:rsid w:val="00406E89"/>
    <w:rsid w:val="00411FC4"/>
    <w:rsid w:val="004338A6"/>
    <w:rsid w:val="004539DE"/>
    <w:rsid w:val="00455789"/>
    <w:rsid w:val="00457E98"/>
    <w:rsid w:val="00463C90"/>
    <w:rsid w:val="00465337"/>
    <w:rsid w:val="0048067B"/>
    <w:rsid w:val="00496689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54BE4"/>
    <w:rsid w:val="005730BF"/>
    <w:rsid w:val="00591595"/>
    <w:rsid w:val="005A5259"/>
    <w:rsid w:val="005A6725"/>
    <w:rsid w:val="005F1137"/>
    <w:rsid w:val="005F16C1"/>
    <w:rsid w:val="0062060D"/>
    <w:rsid w:val="0063489F"/>
    <w:rsid w:val="006567E3"/>
    <w:rsid w:val="00670D3E"/>
    <w:rsid w:val="00683544"/>
    <w:rsid w:val="00687080"/>
    <w:rsid w:val="00697767"/>
    <w:rsid w:val="006D0D1F"/>
    <w:rsid w:val="006D456E"/>
    <w:rsid w:val="007059C6"/>
    <w:rsid w:val="00723ADF"/>
    <w:rsid w:val="007714E3"/>
    <w:rsid w:val="007A4A1A"/>
    <w:rsid w:val="007B2E41"/>
    <w:rsid w:val="007D20DB"/>
    <w:rsid w:val="007E1366"/>
    <w:rsid w:val="007E3776"/>
    <w:rsid w:val="007F26D1"/>
    <w:rsid w:val="0080697A"/>
    <w:rsid w:val="00827F2D"/>
    <w:rsid w:val="00844D08"/>
    <w:rsid w:val="00847635"/>
    <w:rsid w:val="00882466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00E5"/>
    <w:rsid w:val="009E2B15"/>
    <w:rsid w:val="00A07851"/>
    <w:rsid w:val="00A308F5"/>
    <w:rsid w:val="00A841A7"/>
    <w:rsid w:val="00A90331"/>
    <w:rsid w:val="00AA2249"/>
    <w:rsid w:val="00AB786E"/>
    <w:rsid w:val="00AC0F40"/>
    <w:rsid w:val="00AD0F65"/>
    <w:rsid w:val="00AE353A"/>
    <w:rsid w:val="00B00923"/>
    <w:rsid w:val="00B23575"/>
    <w:rsid w:val="00B26A1D"/>
    <w:rsid w:val="00B50DB2"/>
    <w:rsid w:val="00B6398A"/>
    <w:rsid w:val="00B834BC"/>
    <w:rsid w:val="00B837AA"/>
    <w:rsid w:val="00B93403"/>
    <w:rsid w:val="00BB6111"/>
    <w:rsid w:val="00BF5C06"/>
    <w:rsid w:val="00C10408"/>
    <w:rsid w:val="00C36066"/>
    <w:rsid w:val="00C611D5"/>
    <w:rsid w:val="00C635D7"/>
    <w:rsid w:val="00CA37AD"/>
    <w:rsid w:val="00CB6026"/>
    <w:rsid w:val="00CC1EF3"/>
    <w:rsid w:val="00CD1290"/>
    <w:rsid w:val="00CE42C1"/>
    <w:rsid w:val="00CF7383"/>
    <w:rsid w:val="00D0727D"/>
    <w:rsid w:val="00D10FA7"/>
    <w:rsid w:val="00D12574"/>
    <w:rsid w:val="00D171F6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2216C"/>
    <w:rsid w:val="00E35468"/>
    <w:rsid w:val="00E40498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75AD1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9CBE"/>
  <w15:docId w15:val="{7C155EC9-6D12-4B29-94BB-52592AA4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4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4BE4"/>
    <w:rPr>
      <w:lang w:eastAsia="en-US"/>
    </w:rPr>
  </w:style>
  <w:style w:type="character" w:styleId="Znakapoznpodarou">
    <w:name w:val="footnote reference"/>
    <w:semiHidden/>
    <w:unhideWhenUsed/>
    <w:rsid w:val="00554B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3</cp:revision>
  <cp:lastPrinted>2014-08-07T06:19:00Z</cp:lastPrinted>
  <dcterms:created xsi:type="dcterms:W3CDTF">2025-05-17T03:12:00Z</dcterms:created>
  <dcterms:modified xsi:type="dcterms:W3CDTF">2025-05-17T03:52:00Z</dcterms:modified>
</cp:coreProperties>
</file>