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3247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BA05A7" w:rsidRPr="00BA05A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A05A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BA05A7" w:rsidRPr="00BA05A7">
              <w:rPr>
                <w:rFonts w:ascii="Arial" w:hAnsi="Arial" w:cs="Arial"/>
                <w:b/>
                <w:sz w:val="20"/>
                <w:szCs w:val="20"/>
              </w:rPr>
              <w:t>Rozšíření technologie Riedel</w:t>
            </w:r>
            <w:bookmarkStart w:id="0" w:name="_GoBack"/>
            <w:bookmarkEnd w:id="0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7A6" w:rsidRDefault="003F67A6">
      <w:r>
        <w:separator/>
      </w:r>
    </w:p>
  </w:endnote>
  <w:endnote w:type="continuationSeparator" w:id="0">
    <w:p w:rsidR="003F67A6" w:rsidRDefault="003F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7A6" w:rsidRDefault="003F67A6">
      <w:r>
        <w:separator/>
      </w:r>
    </w:p>
  </w:footnote>
  <w:footnote w:type="continuationSeparator" w:id="0">
    <w:p w:rsidR="003F67A6" w:rsidRDefault="003F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7A6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5A7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1C730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45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2025-05-19T11:48:00Z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