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</w:p>
    <w:p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5"/>
        <w:gridCol w:w="5670"/>
      </w:tblGrid>
      <w:tr w:rsidR="00B552D7" w:rsidRPr="00B07C85" w:rsidTr="00F63B07">
        <w:trPr>
          <w:trHeight w:val="330"/>
        </w:trPr>
        <w:tc>
          <w:tcPr>
            <w:tcW w:w="3425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:rsidTr="00F63B07">
        <w:trPr>
          <w:trHeight w:val="315"/>
        </w:trPr>
        <w:tc>
          <w:tcPr>
            <w:tcW w:w="3425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:rsidTr="00F63B07">
        <w:trPr>
          <w:trHeight w:val="315"/>
        </w:trPr>
        <w:tc>
          <w:tcPr>
            <w:tcW w:w="3425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0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:rsidTr="00F63B07">
        <w:trPr>
          <w:trHeight w:val="542"/>
        </w:trPr>
        <w:tc>
          <w:tcPr>
            <w:tcW w:w="3425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 xml:space="preserve">Název </w:t>
            </w:r>
            <w:r w:rsidR="00150EB7">
              <w:rPr>
                <w:color w:val="000000"/>
                <w:sz w:val="22"/>
                <w:szCs w:val="22"/>
              </w:rPr>
              <w:t xml:space="preserve">sektorové </w:t>
            </w:r>
            <w:r w:rsidRPr="00B07C85">
              <w:rPr>
                <w:color w:val="000000"/>
                <w:sz w:val="22"/>
                <w:szCs w:val="22"/>
              </w:rPr>
              <w:t>veřejné zakázky:</w:t>
            </w:r>
          </w:p>
        </w:tc>
        <w:tc>
          <w:tcPr>
            <w:tcW w:w="5670" w:type="dxa"/>
            <w:noWrap/>
            <w:vAlign w:val="center"/>
          </w:tcPr>
          <w:p w:rsidR="00B552D7" w:rsidRPr="00A053FC" w:rsidRDefault="00B552D7" w:rsidP="00B552D7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F943A5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nových kolejnic tvaru 57R1/R260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:rsidTr="00F63B07">
        <w:trPr>
          <w:trHeight w:val="315"/>
        </w:trPr>
        <w:tc>
          <w:tcPr>
            <w:tcW w:w="3425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:rsidR="00B552D7" w:rsidRPr="00B07C85" w:rsidRDefault="004C0E33" w:rsidP="00423DDB">
            <w:pPr>
              <w:ind w:left="142"/>
              <w:rPr>
                <w:bCs/>
              </w:rPr>
            </w:pPr>
            <w:r>
              <w:rPr>
                <w:noProof/>
                <w:sz w:val="22"/>
                <w:szCs w:val="22"/>
              </w:rPr>
              <w:t>SVZ-98</w:t>
            </w:r>
            <w:r w:rsidR="00B552D7" w:rsidRPr="00B07C85">
              <w:rPr>
                <w:noProof/>
                <w:sz w:val="22"/>
                <w:szCs w:val="22"/>
              </w:rPr>
              <w:t>-25-OŘ-Ja</w:t>
            </w:r>
            <w:bookmarkStart w:id="0" w:name="_GoBack"/>
            <w:bookmarkEnd w:id="0"/>
          </w:p>
        </w:tc>
      </w:tr>
      <w:tr w:rsidR="00B552D7" w:rsidRPr="00B07C85" w:rsidTr="00F63B07">
        <w:trPr>
          <w:trHeight w:val="315"/>
        </w:trPr>
        <w:tc>
          <w:tcPr>
            <w:tcW w:w="3425" w:type="dxa"/>
            <w:noWrap/>
            <w:vAlign w:val="center"/>
          </w:tcPr>
          <w:p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0" w:type="dxa"/>
            <w:noWrap/>
            <w:vAlign w:val="center"/>
          </w:tcPr>
          <w:p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:rsidR="00B552D7" w:rsidRPr="00B07C85" w:rsidRDefault="00B552D7" w:rsidP="00B552D7">
      <w:pPr>
        <w:rPr>
          <w:sz w:val="22"/>
          <w:szCs w:val="22"/>
        </w:rPr>
      </w:pPr>
    </w:p>
    <w:p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:rsidTr="00423DDB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:rsidTr="00423DDB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562822">
              <w:rPr>
                <w:b/>
                <w:sz w:val="22"/>
                <w:szCs w:val="22"/>
              </w:rPr>
              <w:t>279</w:t>
            </w:r>
            <w:r w:rsidR="004E0502">
              <w:rPr>
                <w:b/>
                <w:sz w:val="22"/>
                <w:szCs w:val="22"/>
              </w:rPr>
              <w:t xml:space="preserve"> </w:t>
            </w:r>
            <w:r w:rsidR="00451DED" w:rsidRPr="00F22762">
              <w:rPr>
                <w:b/>
                <w:sz w:val="22"/>
                <w:szCs w:val="22"/>
              </w:rPr>
              <w:t>ks</w:t>
            </w:r>
            <w:r w:rsidR="00451DED" w:rsidRPr="00F22762">
              <w:rPr>
                <w:sz w:val="22"/>
                <w:szCs w:val="22"/>
              </w:rPr>
              <w:t xml:space="preserve"> nových kolejnic tvaru </w:t>
            </w:r>
            <w:r w:rsidR="00BF0BDD">
              <w:rPr>
                <w:sz w:val="22"/>
                <w:szCs w:val="22"/>
              </w:rPr>
              <w:t>57R1/R260</w:t>
            </w:r>
            <w:r w:rsidR="00075D46">
              <w:rPr>
                <w:sz w:val="22"/>
                <w:szCs w:val="22"/>
              </w:rPr>
              <w:t xml:space="preserve"> </w:t>
            </w:r>
            <w:r w:rsidR="00075D46" w:rsidRPr="00075D46">
              <w:rPr>
                <w:iCs/>
                <w:sz w:val="22"/>
                <w:szCs w:val="22"/>
              </w:rPr>
              <w:t>dle EN 14811:2006+A1:2009, nebo EN</w:t>
            </w:r>
            <w:r w:rsidR="00B1024A">
              <w:rPr>
                <w:iCs/>
                <w:sz w:val="22"/>
                <w:szCs w:val="22"/>
              </w:rPr>
              <w:t xml:space="preserve"> </w:t>
            </w:r>
            <w:r w:rsidR="00075D46" w:rsidRPr="00075D46">
              <w:rPr>
                <w:iCs/>
                <w:sz w:val="22"/>
                <w:szCs w:val="22"/>
              </w:rPr>
              <w:t>14811:2019</w:t>
            </w:r>
            <w:r w:rsidR="00451DED" w:rsidRPr="00075D46">
              <w:rPr>
                <w:sz w:val="22"/>
                <w:szCs w:val="22"/>
              </w:rPr>
              <w:t>)</w:t>
            </w:r>
          </w:p>
          <w:p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F22762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tuto </w:t>
            </w:r>
            <w:r w:rsidR="00B8373D">
              <w:rPr>
                <w:b/>
                <w:bCs/>
                <w:i/>
                <w:color w:val="FF0000"/>
                <w:sz w:val="22"/>
                <w:szCs w:val="22"/>
              </w:rPr>
              <w:t xml:space="preserve">CELKOVOU 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</w:t>
      </w:r>
      <w:r w:rsidRPr="00FF31A0">
        <w:rPr>
          <w:sz w:val="22"/>
          <w:szCs w:val="22"/>
        </w:rPr>
        <w:lastRenderedPageBreak/>
        <w:t xml:space="preserve">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C622B6" w:rsidRDefault="00C622B6" w:rsidP="00653DE5">
      <w:pPr>
        <w:spacing w:before="120"/>
        <w:jc w:val="both"/>
        <w:rPr>
          <w:sz w:val="22"/>
          <w:szCs w:val="22"/>
        </w:rPr>
      </w:pPr>
    </w:p>
    <w:p w:rsidR="00C622B6" w:rsidRDefault="00C622B6" w:rsidP="00653DE5">
      <w:pPr>
        <w:spacing w:before="120"/>
        <w:jc w:val="both"/>
        <w:rPr>
          <w:sz w:val="22"/>
          <w:szCs w:val="22"/>
        </w:rPr>
      </w:pPr>
    </w:p>
    <w:p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6CD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6CD4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  <w:footnote w:id="1">
    <w:p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39C0CDEF" wp14:editId="34A91C5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75D46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0EB7"/>
    <w:rsid w:val="00154C2F"/>
    <w:rsid w:val="00163A37"/>
    <w:rsid w:val="00166472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A43C8"/>
    <w:rsid w:val="003B0A9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0E33"/>
    <w:rsid w:val="004C34FB"/>
    <w:rsid w:val="004D1926"/>
    <w:rsid w:val="004E0502"/>
    <w:rsid w:val="004F7DFE"/>
    <w:rsid w:val="00517EFC"/>
    <w:rsid w:val="00526CD4"/>
    <w:rsid w:val="005302A6"/>
    <w:rsid w:val="00550362"/>
    <w:rsid w:val="00562822"/>
    <w:rsid w:val="00594122"/>
    <w:rsid w:val="0061752E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26792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43B30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024A"/>
    <w:rsid w:val="00B15FC7"/>
    <w:rsid w:val="00B31BDD"/>
    <w:rsid w:val="00B5122E"/>
    <w:rsid w:val="00B552D7"/>
    <w:rsid w:val="00B76791"/>
    <w:rsid w:val="00B776F2"/>
    <w:rsid w:val="00B8356F"/>
    <w:rsid w:val="00B8373D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0BDD"/>
    <w:rsid w:val="00BF1A71"/>
    <w:rsid w:val="00BF6041"/>
    <w:rsid w:val="00C00B88"/>
    <w:rsid w:val="00C15E8F"/>
    <w:rsid w:val="00C43A0A"/>
    <w:rsid w:val="00C5242F"/>
    <w:rsid w:val="00C622B6"/>
    <w:rsid w:val="00C93816"/>
    <w:rsid w:val="00C9763E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4D57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3B07"/>
    <w:rsid w:val="00F67191"/>
    <w:rsid w:val="00F804EC"/>
    <w:rsid w:val="00F943A5"/>
    <w:rsid w:val="00F96998"/>
    <w:rsid w:val="00FB4107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DA8D12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139</cp:revision>
  <cp:lastPrinted>2025-08-11T09:51:00Z</cp:lastPrinted>
  <dcterms:created xsi:type="dcterms:W3CDTF">2016-12-02T11:36:00Z</dcterms:created>
  <dcterms:modified xsi:type="dcterms:W3CDTF">2025-09-01T05:26:00Z</dcterms:modified>
</cp:coreProperties>
</file>