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590FDD39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E33F2">
        <w:rPr>
          <w:rFonts w:ascii="Arial Black" w:hAnsi="Arial Black" w:cstheme="minorHAnsi"/>
          <w:b/>
          <w:sz w:val="26"/>
          <w:szCs w:val="26"/>
        </w:rPr>
        <w:t>4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3BF129CD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091DFC" w:rsidRPr="00B65FB9">
        <w:rPr>
          <w:rFonts w:ascii="Arial Black" w:hAnsi="Arial Black"/>
          <w:b/>
          <w:sz w:val="22"/>
          <w:szCs w:val="22"/>
        </w:rPr>
        <w:t>Dodávka 2 ks</w:t>
      </w:r>
      <w:r w:rsidR="00B65FB9">
        <w:rPr>
          <w:rFonts w:ascii="Arial Black" w:hAnsi="Arial Black"/>
          <w:b/>
          <w:sz w:val="22"/>
          <w:szCs w:val="22"/>
        </w:rPr>
        <w:t xml:space="preserve"> </w:t>
      </w:r>
      <w:r w:rsidR="00BE33F2">
        <w:rPr>
          <w:rFonts w:ascii="Arial Black" w:hAnsi="Arial Black"/>
          <w:b/>
          <w:sz w:val="22"/>
          <w:szCs w:val="22"/>
        </w:rPr>
        <w:t>nových mobilních nabíjecích stanic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B164" w14:textId="77777777" w:rsidR="00A310C8" w:rsidRDefault="00A31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36D2" w14:textId="77777777" w:rsidR="00A310C8" w:rsidRDefault="00A31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44BF82BF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A310C8">
      <w:rPr>
        <w:rFonts w:ascii="Times New Roman" w:hAnsi="Times New Roman"/>
        <w:bCs/>
        <w:i/>
        <w:iCs/>
      </w:rPr>
      <w:t>6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B9FB" w14:textId="77777777" w:rsidR="00A310C8" w:rsidRDefault="00A310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10C8"/>
    <w:rsid w:val="00A35EAA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E33F2"/>
    <w:rsid w:val="00BF0A09"/>
    <w:rsid w:val="00C14677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F210EC"/>
    <w:rsid w:val="00F347EB"/>
    <w:rsid w:val="00F54829"/>
    <w:rsid w:val="00F56EDC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E1CC-4734-4089-9065-799F5D93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</cp:revision>
  <cp:lastPrinted>2017-11-02T12:46:00Z</cp:lastPrinted>
  <dcterms:created xsi:type="dcterms:W3CDTF">2025-09-29T13:06:00Z</dcterms:created>
  <dcterms:modified xsi:type="dcterms:W3CDTF">2025-10-29T07:09:00Z</dcterms:modified>
</cp:coreProperties>
</file>