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B62E9D">
        <w:rPr>
          <w:b/>
          <w:bCs/>
          <w:sz w:val="22"/>
          <w:szCs w:val="22"/>
        </w:rPr>
        <w:t>Provedení sklenářských prací na zastřešení a zábradlí tramvajových nástupišť</w:t>
      </w:r>
      <w:r w:rsidR="00013CD7" w:rsidRPr="00013CD7">
        <w:t xml:space="preserve"> </w:t>
      </w:r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1518DC" w:rsidRDefault="001518DC">
      <w:pPr>
        <w:jc w:val="both"/>
        <w:rPr>
          <w:sz w:val="22"/>
          <w:szCs w:val="22"/>
        </w:rPr>
      </w:pPr>
      <w:bookmarkStart w:id="0" w:name="_GoBack"/>
      <w:bookmarkEnd w:id="0"/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55744C">
      <w:rPr>
        <w:i/>
        <w:sz w:val="22"/>
        <w:szCs w:val="22"/>
      </w:rPr>
      <w:t xml:space="preserve"> pro část A</w:t>
    </w:r>
  </w:p>
  <w:p w:rsidR="0055744C" w:rsidRDefault="0055744C" w:rsidP="00447852">
    <w:pPr>
      <w:jc w:val="both"/>
      <w:rPr>
        <w:i/>
        <w:sz w:val="22"/>
        <w:szCs w:val="22"/>
      </w:rPr>
    </w:pPr>
  </w:p>
  <w:p w:rsidR="0055744C" w:rsidRDefault="0055744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5F07EF" wp14:editId="53C02E2B">
          <wp:simplePos x="0" y="0"/>
          <wp:positionH relativeFrom="margin">
            <wp:posOffset>4215130</wp:posOffset>
          </wp:positionH>
          <wp:positionV relativeFrom="page">
            <wp:posOffset>600075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744C" w:rsidRDefault="0055744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77F4E08" wp14:editId="79E159AD">
          <wp:simplePos x="0" y="0"/>
          <wp:positionH relativeFrom="page">
            <wp:posOffset>918845</wp:posOffset>
          </wp:positionH>
          <wp:positionV relativeFrom="page">
            <wp:posOffset>757555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744C" w:rsidRDefault="0055744C" w:rsidP="00447852">
    <w:pPr>
      <w:jc w:val="both"/>
      <w:rPr>
        <w:i/>
        <w:sz w:val="22"/>
        <w:szCs w:val="22"/>
      </w:rPr>
    </w:pPr>
  </w:p>
  <w:p w:rsidR="0055744C" w:rsidRDefault="0055744C" w:rsidP="00447852">
    <w:pPr>
      <w:jc w:val="both"/>
      <w:rPr>
        <w:i/>
        <w:sz w:val="22"/>
        <w:szCs w:val="22"/>
      </w:rPr>
    </w:pPr>
  </w:p>
  <w:p w:rsidR="0055744C" w:rsidRPr="00EA1833" w:rsidRDefault="0055744C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65B04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04F21C6C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1F49B-7C23-49E4-A3E2-49477A9E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4</cp:revision>
  <cp:lastPrinted>2012-06-13T06:30:00Z</cp:lastPrinted>
  <dcterms:created xsi:type="dcterms:W3CDTF">2018-10-31T06:31:00Z</dcterms:created>
  <dcterms:modified xsi:type="dcterms:W3CDTF">2018-11-05T14:26:00Z</dcterms:modified>
</cp:coreProperties>
</file>