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A11" w:rsidRDefault="00A40A11" w:rsidP="00A40A11">
      <w:pPr>
        <w:pStyle w:val="Nadpis1"/>
        <w:contextualSpacing w:val="0"/>
      </w:pPr>
      <w:bookmarkStart w:id="0" w:name="_9bjz7kkz40t0" w:colFirst="0" w:colLast="0"/>
      <w:bookmarkEnd w:id="0"/>
      <w:r>
        <w:t>Základní harmonogram plnění - příloha č. 5 SOD</w:t>
      </w:r>
    </w:p>
    <w:p w:rsidR="00A40A11" w:rsidRDefault="00E96623" w:rsidP="00A40A11">
      <w:pPr>
        <w:pStyle w:val="Normln1"/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tbl>
      <w:tblPr>
        <w:tblW w:w="9921" w:type="dxa"/>
        <w:tblInd w:w="56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7655"/>
        <w:gridCol w:w="1133"/>
        <w:gridCol w:w="1133"/>
      </w:tblGrid>
      <w:tr w:rsidR="00A40A11" w:rsidTr="003F4EC7">
        <w:tc>
          <w:tcPr>
            <w:tcW w:w="7655" w:type="dxa"/>
            <w:shd w:val="clear" w:color="auto" w:fill="CCCCCC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0A11" w:rsidRDefault="00A40A11" w:rsidP="00640C07">
            <w:pPr>
              <w:pStyle w:val="Normln1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Etapy plnění</w:t>
            </w:r>
          </w:p>
        </w:tc>
        <w:tc>
          <w:tcPr>
            <w:tcW w:w="1133" w:type="dxa"/>
            <w:shd w:val="clear" w:color="auto" w:fill="CCCCCC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0A11" w:rsidRDefault="00A40A11" w:rsidP="00640C07">
            <w:pPr>
              <w:pStyle w:val="Normln1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vozů</w:t>
            </w:r>
          </w:p>
        </w:tc>
        <w:tc>
          <w:tcPr>
            <w:tcW w:w="1133" w:type="dxa"/>
            <w:shd w:val="clear" w:color="auto" w:fill="CCCCCC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0A11" w:rsidRDefault="00A40A11" w:rsidP="00640C07">
            <w:pPr>
              <w:pStyle w:val="Normln1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ks</w:t>
            </w:r>
          </w:p>
        </w:tc>
      </w:tr>
      <w:tr w:rsidR="00A40A11" w:rsidTr="003F4EC7">
        <w:tc>
          <w:tcPr>
            <w:tcW w:w="7655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0A11" w:rsidRDefault="00A40A11" w:rsidP="003F4EC7">
            <w:pPr>
              <w:pStyle w:val="Normln1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Etapa 1. - do </w:t>
            </w:r>
            <w:r w:rsidR="003F4EC7">
              <w:rPr>
                <w:b/>
              </w:rPr>
              <w:t>6</w:t>
            </w:r>
            <w:r>
              <w:rPr>
                <w:b/>
              </w:rPr>
              <w:t>0 dnů od podpisu smlouvy (vč. Zkušebního provozu v délce 7 dnů)</w:t>
            </w:r>
          </w:p>
        </w:tc>
        <w:tc>
          <w:tcPr>
            <w:tcW w:w="113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0A11" w:rsidRDefault="00A40A11" w:rsidP="00640C07">
            <w:pPr>
              <w:pStyle w:val="Normln1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0A11" w:rsidRDefault="00A40A11" w:rsidP="00640C07">
            <w:pPr>
              <w:pStyle w:val="Normln1"/>
              <w:widowControl w:val="0"/>
              <w:spacing w:line="240" w:lineRule="auto"/>
              <w:jc w:val="center"/>
            </w:pPr>
          </w:p>
        </w:tc>
      </w:tr>
      <w:tr w:rsidR="00A40A11" w:rsidTr="003F4EC7">
        <w:tc>
          <w:tcPr>
            <w:tcW w:w="7655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0A11" w:rsidRDefault="003F4EC7" w:rsidP="003F4EC7">
            <w:pPr>
              <w:pStyle w:val="Normln1"/>
              <w:widowControl w:val="0"/>
              <w:spacing w:line="240" w:lineRule="auto"/>
              <w:ind w:left="228"/>
            </w:pPr>
            <w:r>
              <w:t xml:space="preserve">Instalace LCD </w:t>
            </w:r>
            <w:r w:rsidR="00DA62CB">
              <w:t>monitorů</w:t>
            </w:r>
            <w:r>
              <w:t xml:space="preserve"> do10 krátkých tramvají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0A11" w:rsidRDefault="003F4EC7" w:rsidP="00640C07">
            <w:pPr>
              <w:pStyle w:val="Normln1"/>
              <w:widowControl w:val="0"/>
              <w:spacing w:line="240" w:lineRule="auto"/>
              <w:jc w:val="center"/>
            </w:pPr>
            <w:r>
              <w:t>1</w:t>
            </w:r>
            <w:r w:rsidR="00A40A11">
              <w:t>0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0A11" w:rsidRDefault="00A40A11" w:rsidP="00640C07">
            <w:pPr>
              <w:pStyle w:val="Normln1"/>
              <w:widowControl w:val="0"/>
              <w:spacing w:line="240" w:lineRule="auto"/>
              <w:jc w:val="center"/>
            </w:pPr>
            <w:r>
              <w:t>20</w:t>
            </w:r>
          </w:p>
        </w:tc>
      </w:tr>
      <w:tr w:rsidR="003F4EC7" w:rsidTr="003F4EC7">
        <w:tc>
          <w:tcPr>
            <w:tcW w:w="7655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3F4EC7">
            <w:pPr>
              <w:pStyle w:val="Normln1"/>
              <w:widowControl w:val="0"/>
              <w:spacing w:line="240" w:lineRule="auto"/>
              <w:ind w:left="228"/>
            </w:pPr>
            <w:r>
              <w:t xml:space="preserve">Instalace LCD </w:t>
            </w:r>
            <w:r w:rsidR="00DA62CB">
              <w:t>monitorů</w:t>
            </w:r>
            <w:r>
              <w:t xml:space="preserve"> do 2 zkušebních sestav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640C07">
            <w:pPr>
              <w:pStyle w:val="Normln1"/>
              <w:widowControl w:val="0"/>
              <w:spacing w:line="240" w:lineRule="auto"/>
              <w:jc w:val="center"/>
            </w:pPr>
            <w:r>
              <w:t>2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640C07">
            <w:pPr>
              <w:pStyle w:val="Normln1"/>
              <w:widowControl w:val="0"/>
              <w:spacing w:line="240" w:lineRule="auto"/>
              <w:jc w:val="center"/>
            </w:pPr>
            <w:r>
              <w:t>2</w:t>
            </w:r>
          </w:p>
        </w:tc>
      </w:tr>
      <w:tr w:rsidR="00A40A11" w:rsidTr="003F4EC7">
        <w:tc>
          <w:tcPr>
            <w:tcW w:w="7655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0A11" w:rsidRDefault="003F4EC7" w:rsidP="00640C07">
            <w:pPr>
              <w:pStyle w:val="Normln1"/>
              <w:widowControl w:val="0"/>
              <w:spacing w:line="240" w:lineRule="auto"/>
              <w:ind w:left="228"/>
            </w:pPr>
            <w:r>
              <w:t>Obslužný software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0A11" w:rsidRDefault="00A40A11" w:rsidP="00640C07">
            <w:pPr>
              <w:pStyle w:val="Normln1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0A11" w:rsidRDefault="00A40A11" w:rsidP="00640C07">
            <w:pPr>
              <w:pStyle w:val="Normln1"/>
              <w:widowControl w:val="0"/>
              <w:spacing w:line="240" w:lineRule="auto"/>
              <w:jc w:val="center"/>
            </w:pPr>
            <w:r>
              <w:t>1</w:t>
            </w:r>
          </w:p>
        </w:tc>
      </w:tr>
      <w:tr w:rsidR="003F4EC7" w:rsidTr="003F4EC7">
        <w:tc>
          <w:tcPr>
            <w:tcW w:w="7655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640C07">
            <w:pPr>
              <w:pStyle w:val="Normln1"/>
              <w:widowControl w:val="0"/>
              <w:spacing w:line="240" w:lineRule="auto"/>
              <w:ind w:left="228"/>
            </w:pPr>
            <w:r>
              <w:t>Předání návodů, dokumentace a instalačních nosičů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640C07">
            <w:pPr>
              <w:pStyle w:val="Normln1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640C07">
            <w:pPr>
              <w:pStyle w:val="Normln1"/>
              <w:widowControl w:val="0"/>
              <w:spacing w:line="240" w:lineRule="auto"/>
              <w:jc w:val="center"/>
            </w:pPr>
          </w:p>
        </w:tc>
      </w:tr>
      <w:tr w:rsidR="003F4EC7" w:rsidTr="003F4EC7">
        <w:tc>
          <w:tcPr>
            <w:tcW w:w="7655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640C07">
            <w:pPr>
              <w:pStyle w:val="Normln1"/>
              <w:widowControl w:val="0"/>
              <w:spacing w:line="240" w:lineRule="auto"/>
              <w:ind w:left="228"/>
            </w:pPr>
            <w:r>
              <w:t>Školení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640C07">
            <w:pPr>
              <w:pStyle w:val="Normln1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640C07">
            <w:pPr>
              <w:pStyle w:val="Normln1"/>
              <w:widowControl w:val="0"/>
              <w:spacing w:line="240" w:lineRule="auto"/>
              <w:jc w:val="center"/>
            </w:pPr>
            <w:r>
              <w:t>25</w:t>
            </w:r>
          </w:p>
        </w:tc>
      </w:tr>
      <w:tr w:rsidR="003F4EC7" w:rsidTr="003F4EC7">
        <w:tc>
          <w:tcPr>
            <w:tcW w:w="7655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640C07">
            <w:pPr>
              <w:pStyle w:val="Normln1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Etapa 2. - do 180 dnů od podpisu smlouvy</w:t>
            </w:r>
          </w:p>
        </w:tc>
        <w:tc>
          <w:tcPr>
            <w:tcW w:w="113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640C07">
            <w:pPr>
              <w:pStyle w:val="Normln1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640C07">
            <w:pPr>
              <w:pStyle w:val="Normln1"/>
              <w:widowControl w:val="0"/>
              <w:spacing w:line="240" w:lineRule="auto"/>
              <w:jc w:val="center"/>
            </w:pPr>
          </w:p>
        </w:tc>
      </w:tr>
      <w:tr w:rsidR="003F4EC7" w:rsidTr="003F4EC7">
        <w:tc>
          <w:tcPr>
            <w:tcW w:w="7655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DA62CB">
            <w:pPr>
              <w:pStyle w:val="Normln1"/>
              <w:widowControl w:val="0"/>
              <w:spacing w:line="240" w:lineRule="auto"/>
              <w:ind w:left="228"/>
            </w:pPr>
            <w:r>
              <w:t xml:space="preserve">Instalace LCD </w:t>
            </w:r>
            <w:r w:rsidR="00DA62CB">
              <w:t>monitor</w:t>
            </w:r>
            <w:r>
              <w:t xml:space="preserve">ů do zbylých </w:t>
            </w:r>
            <w:r w:rsidR="00E60D2D">
              <w:t>tramvají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Pr="009E0D74" w:rsidRDefault="000A4949" w:rsidP="00640C07">
            <w:pPr>
              <w:pStyle w:val="Normln1"/>
              <w:widowControl w:val="0"/>
              <w:spacing w:line="240" w:lineRule="auto"/>
              <w:jc w:val="center"/>
              <w:rPr>
                <w:color w:val="000000" w:themeColor="text1"/>
              </w:rPr>
            </w:pPr>
            <w:r w:rsidRPr="009E0D74">
              <w:rPr>
                <w:color w:val="000000" w:themeColor="text1"/>
              </w:rPr>
              <w:t>194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Pr="009E0D74" w:rsidRDefault="000A4949" w:rsidP="00640C07">
            <w:pPr>
              <w:pStyle w:val="Normln1"/>
              <w:widowControl w:val="0"/>
              <w:spacing w:line="240" w:lineRule="auto"/>
              <w:jc w:val="center"/>
              <w:rPr>
                <w:color w:val="000000" w:themeColor="text1"/>
              </w:rPr>
            </w:pPr>
            <w:r w:rsidRPr="009E0D74">
              <w:rPr>
                <w:color w:val="000000" w:themeColor="text1"/>
              </w:rPr>
              <w:t>316</w:t>
            </w:r>
          </w:p>
        </w:tc>
      </w:tr>
      <w:tr w:rsidR="003F4EC7" w:rsidTr="003F4EC7">
        <w:tc>
          <w:tcPr>
            <w:tcW w:w="7655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3F4EC7">
            <w:pPr>
              <w:pStyle w:val="Normln1"/>
              <w:widowControl w:val="0"/>
              <w:spacing w:line="240" w:lineRule="auto"/>
              <w:ind w:left="228"/>
            </w:pPr>
            <w:r>
              <w:t xml:space="preserve">Instalace LCD </w:t>
            </w:r>
            <w:r w:rsidR="00DA62CB">
              <w:t>monitorů</w:t>
            </w:r>
            <w:r>
              <w:t xml:space="preserve"> do 5 zkušebních sestav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640C07">
            <w:pPr>
              <w:pStyle w:val="Normln1"/>
              <w:widowControl w:val="0"/>
              <w:spacing w:line="240" w:lineRule="auto"/>
              <w:jc w:val="center"/>
            </w:pPr>
            <w:r>
              <w:t>5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Default="003F4EC7" w:rsidP="00640C07">
            <w:pPr>
              <w:pStyle w:val="Normln1"/>
              <w:widowControl w:val="0"/>
              <w:spacing w:line="240" w:lineRule="auto"/>
              <w:jc w:val="center"/>
            </w:pPr>
            <w:r>
              <w:t>5</w:t>
            </w:r>
          </w:p>
        </w:tc>
      </w:tr>
      <w:tr w:rsidR="003F4EC7" w:rsidTr="00640C07">
        <w:trPr>
          <w:trHeight w:val="202"/>
        </w:trPr>
        <w:tc>
          <w:tcPr>
            <w:tcW w:w="7655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Pr="003F4EC7" w:rsidRDefault="003F4EC7" w:rsidP="000F186E">
            <w:pPr>
              <w:pStyle w:val="Normln1"/>
              <w:widowControl w:val="0"/>
              <w:spacing w:line="240" w:lineRule="auto"/>
              <w:rPr>
                <w:b/>
                <w:highlight w:val="yellow"/>
              </w:rPr>
            </w:pPr>
            <w:r w:rsidRPr="00593AF4">
              <w:rPr>
                <w:b/>
              </w:rPr>
              <w:t xml:space="preserve">Etapa 3. - do </w:t>
            </w:r>
            <w:r w:rsidR="000F186E" w:rsidRPr="00593AF4">
              <w:rPr>
                <w:b/>
              </w:rPr>
              <w:t>180</w:t>
            </w:r>
            <w:r w:rsidRPr="00593AF4">
              <w:rPr>
                <w:b/>
              </w:rPr>
              <w:t xml:space="preserve"> dnů </w:t>
            </w:r>
            <w:r w:rsidRPr="00D50018">
              <w:rPr>
                <w:b/>
              </w:rPr>
              <w:t xml:space="preserve">od </w:t>
            </w:r>
            <w:r w:rsidR="000F186E" w:rsidRPr="00D50018">
              <w:rPr>
                <w:rFonts w:eastAsia="Calibri"/>
                <w:b/>
              </w:rPr>
              <w:t>doručení písemné objednávky</w:t>
            </w:r>
            <w:r w:rsidR="000F186E" w:rsidRPr="00307421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13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Pr="003F4EC7" w:rsidRDefault="003F4EC7" w:rsidP="00640C07">
            <w:pPr>
              <w:pStyle w:val="Normln1"/>
              <w:widowControl w:val="0"/>
              <w:spacing w:line="240" w:lineRule="auto"/>
              <w:jc w:val="center"/>
              <w:rPr>
                <w:highlight w:val="yellow"/>
              </w:rPr>
            </w:pPr>
          </w:p>
        </w:tc>
        <w:tc>
          <w:tcPr>
            <w:tcW w:w="113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Pr="003F4EC7" w:rsidRDefault="003F4EC7" w:rsidP="00640C07">
            <w:pPr>
              <w:pStyle w:val="Normln1"/>
              <w:widowControl w:val="0"/>
              <w:spacing w:line="240" w:lineRule="auto"/>
              <w:jc w:val="center"/>
              <w:rPr>
                <w:highlight w:val="yellow"/>
              </w:rPr>
            </w:pPr>
          </w:p>
        </w:tc>
      </w:tr>
      <w:tr w:rsidR="003F4EC7" w:rsidTr="003F4EC7">
        <w:tc>
          <w:tcPr>
            <w:tcW w:w="7655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Pr="003068E7" w:rsidRDefault="003F4EC7" w:rsidP="003F4EC7">
            <w:pPr>
              <w:pStyle w:val="Normln1"/>
              <w:widowControl w:val="0"/>
              <w:spacing w:line="240" w:lineRule="auto"/>
              <w:ind w:left="228"/>
            </w:pPr>
            <w:r w:rsidRPr="003068E7">
              <w:t xml:space="preserve">Instalace LCD </w:t>
            </w:r>
            <w:r w:rsidR="00DA62CB">
              <w:t>monitorů</w:t>
            </w:r>
            <w:r w:rsidRPr="003068E7">
              <w:t xml:space="preserve"> do autobusů a trolejbusů (doobjednávka)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Pr="003068E7" w:rsidRDefault="0096691B" w:rsidP="00FB2B06">
            <w:pPr>
              <w:pStyle w:val="Normln1"/>
              <w:widowControl w:val="0"/>
              <w:spacing w:line="240" w:lineRule="auto"/>
              <w:jc w:val="center"/>
            </w:pPr>
            <w:r>
              <w:t>1</w:t>
            </w:r>
            <w:r w:rsidR="00FB2B06">
              <w:t>15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F4EC7" w:rsidRPr="003068E7" w:rsidRDefault="0096691B" w:rsidP="00FB2B06">
            <w:pPr>
              <w:pStyle w:val="Normln1"/>
              <w:widowControl w:val="0"/>
              <w:spacing w:line="240" w:lineRule="auto"/>
              <w:jc w:val="center"/>
            </w:pPr>
            <w:r>
              <w:t>2</w:t>
            </w:r>
            <w:r w:rsidR="00FB2B06">
              <w:t>30</w:t>
            </w:r>
          </w:p>
        </w:tc>
      </w:tr>
    </w:tbl>
    <w:p w:rsidR="00A40A11" w:rsidRDefault="00A40A11" w:rsidP="00A40A11">
      <w:pPr>
        <w:pStyle w:val="Normln1"/>
      </w:pPr>
    </w:p>
    <w:tbl>
      <w:tblPr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2267"/>
        <w:gridCol w:w="2268"/>
        <w:gridCol w:w="2693"/>
        <w:gridCol w:w="2693"/>
      </w:tblGrid>
      <w:tr w:rsidR="00A40A11" w:rsidTr="00640C07">
        <w:tc>
          <w:tcPr>
            <w:tcW w:w="2267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  <w:rPr>
                <w:b/>
              </w:rPr>
            </w:pPr>
            <w:r>
              <w:rPr>
                <w:b/>
              </w:rPr>
              <w:t>Trakce</w:t>
            </w:r>
          </w:p>
        </w:tc>
        <w:tc>
          <w:tcPr>
            <w:tcW w:w="2267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  <w:rPr>
                <w:b/>
              </w:rPr>
            </w:pPr>
            <w:r>
              <w:rPr>
                <w:b/>
              </w:rPr>
              <w:t>Místo instalace</w:t>
            </w:r>
          </w:p>
        </w:tc>
        <w:tc>
          <w:tcPr>
            <w:tcW w:w="2692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  <w:rPr>
                <w:b/>
              </w:rPr>
            </w:pPr>
            <w:r>
              <w:rPr>
                <w:b/>
              </w:rPr>
              <w:t>Počet uvolněných vozidel</w:t>
            </w:r>
          </w:p>
          <w:p w:rsidR="00A40A11" w:rsidRDefault="00A40A11" w:rsidP="00640C07">
            <w:pPr>
              <w:pStyle w:val="Normln1"/>
              <w:widowControl w:val="0"/>
              <w:rPr>
                <w:b/>
              </w:rPr>
            </w:pPr>
            <w:r>
              <w:rPr>
                <w:b/>
              </w:rPr>
              <w:t>pracovní den</w:t>
            </w:r>
          </w:p>
        </w:tc>
        <w:tc>
          <w:tcPr>
            <w:tcW w:w="2692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  <w:rPr>
                <w:b/>
              </w:rPr>
            </w:pPr>
            <w:r>
              <w:rPr>
                <w:b/>
              </w:rPr>
              <w:t>Počet uvolněných vozidel</w:t>
            </w:r>
          </w:p>
          <w:p w:rsidR="00A40A11" w:rsidRDefault="00A40A11" w:rsidP="00640C07">
            <w:pPr>
              <w:pStyle w:val="Normln1"/>
              <w:widowControl w:val="0"/>
              <w:rPr>
                <w:b/>
              </w:rPr>
            </w:pPr>
            <w:r>
              <w:rPr>
                <w:b/>
              </w:rPr>
              <w:t>den pracovního volna/klidu</w:t>
            </w:r>
          </w:p>
        </w:tc>
      </w:tr>
      <w:tr w:rsidR="00A40A11" w:rsidTr="00640C07">
        <w:tc>
          <w:tcPr>
            <w:tcW w:w="22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  <w:rPr>
                <w:b/>
              </w:rPr>
            </w:pPr>
            <w:r>
              <w:rPr>
                <w:b/>
              </w:rPr>
              <w:t>Tramvaj</w:t>
            </w:r>
          </w:p>
        </w:tc>
        <w:tc>
          <w:tcPr>
            <w:tcW w:w="22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</w:pPr>
            <w:r>
              <w:t>Poruba</w:t>
            </w:r>
          </w:p>
          <w:p w:rsidR="00A40A11" w:rsidRDefault="00A40A11" w:rsidP="00640C07">
            <w:pPr>
              <w:pStyle w:val="Normln1"/>
              <w:widowControl w:val="0"/>
            </w:pPr>
            <w:r>
              <w:t>Moravská Ostrava</w:t>
            </w:r>
          </w:p>
        </w:tc>
        <w:tc>
          <w:tcPr>
            <w:tcW w:w="26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</w:pPr>
            <w:r>
              <w:t>4</w:t>
            </w:r>
          </w:p>
          <w:p w:rsidR="00A40A11" w:rsidRDefault="00A40A11" w:rsidP="00640C07">
            <w:pPr>
              <w:pStyle w:val="Normln1"/>
              <w:widowControl w:val="0"/>
            </w:pPr>
            <w:r>
              <w:t>3</w:t>
            </w:r>
          </w:p>
        </w:tc>
        <w:tc>
          <w:tcPr>
            <w:tcW w:w="26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</w:pPr>
            <w:r>
              <w:t>40</w:t>
            </w:r>
          </w:p>
          <w:p w:rsidR="00A40A11" w:rsidRDefault="00A40A11" w:rsidP="00640C07">
            <w:pPr>
              <w:pStyle w:val="Normln1"/>
              <w:widowControl w:val="0"/>
            </w:pPr>
            <w:r>
              <w:t>20</w:t>
            </w:r>
          </w:p>
        </w:tc>
      </w:tr>
      <w:tr w:rsidR="00A40A11" w:rsidTr="00640C07">
        <w:tc>
          <w:tcPr>
            <w:tcW w:w="22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  <w:rPr>
                <w:b/>
              </w:rPr>
            </w:pPr>
            <w:r>
              <w:rPr>
                <w:b/>
              </w:rPr>
              <w:t>Trolejbus</w:t>
            </w:r>
          </w:p>
        </w:tc>
        <w:tc>
          <w:tcPr>
            <w:tcW w:w="22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</w:pPr>
            <w:r>
              <w:t>Sokolská třída</w:t>
            </w:r>
          </w:p>
        </w:tc>
        <w:tc>
          <w:tcPr>
            <w:tcW w:w="26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</w:pPr>
            <w:r>
              <w:t>3</w:t>
            </w:r>
          </w:p>
        </w:tc>
        <w:tc>
          <w:tcPr>
            <w:tcW w:w="26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</w:pPr>
            <w:r>
              <w:t>10</w:t>
            </w:r>
          </w:p>
        </w:tc>
      </w:tr>
      <w:tr w:rsidR="00A40A11" w:rsidTr="00640C07">
        <w:tc>
          <w:tcPr>
            <w:tcW w:w="22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  <w:rPr>
                <w:b/>
              </w:rPr>
            </w:pPr>
            <w:r>
              <w:rPr>
                <w:b/>
              </w:rPr>
              <w:t>Autobus</w:t>
            </w:r>
          </w:p>
        </w:tc>
        <w:tc>
          <w:tcPr>
            <w:tcW w:w="22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</w:pPr>
            <w:r>
              <w:t>Hranečník</w:t>
            </w:r>
          </w:p>
          <w:p w:rsidR="00A40A11" w:rsidRDefault="00A40A11" w:rsidP="00640C07">
            <w:pPr>
              <w:pStyle w:val="Normln1"/>
              <w:widowControl w:val="0"/>
            </w:pPr>
            <w:r>
              <w:t>Poruba</w:t>
            </w:r>
          </w:p>
        </w:tc>
        <w:tc>
          <w:tcPr>
            <w:tcW w:w="26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</w:pPr>
            <w:r>
              <w:t>4</w:t>
            </w:r>
          </w:p>
          <w:p w:rsidR="00A40A11" w:rsidRDefault="00A40A11" w:rsidP="00640C07">
            <w:pPr>
              <w:pStyle w:val="Normln1"/>
              <w:widowControl w:val="0"/>
            </w:pPr>
            <w:r>
              <w:t>4</w:t>
            </w:r>
          </w:p>
        </w:tc>
        <w:tc>
          <w:tcPr>
            <w:tcW w:w="26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0A11" w:rsidRDefault="00A40A11" w:rsidP="00640C07">
            <w:pPr>
              <w:pStyle w:val="Normln1"/>
              <w:widowControl w:val="0"/>
            </w:pPr>
            <w:r>
              <w:t>30</w:t>
            </w:r>
          </w:p>
          <w:p w:rsidR="00A40A11" w:rsidRDefault="00A40A11" w:rsidP="00640C07">
            <w:pPr>
              <w:pStyle w:val="Normln1"/>
              <w:widowControl w:val="0"/>
            </w:pPr>
            <w:r>
              <w:t>15</w:t>
            </w:r>
          </w:p>
        </w:tc>
      </w:tr>
    </w:tbl>
    <w:p w:rsidR="00A40A11" w:rsidRDefault="00A40A11" w:rsidP="00A40A11">
      <w:pPr>
        <w:pStyle w:val="Normln1"/>
      </w:pPr>
    </w:p>
    <w:p w:rsidR="00640C07" w:rsidRDefault="00640C07">
      <w:bookmarkStart w:id="1" w:name="_GoBack"/>
      <w:bookmarkEnd w:id="1"/>
    </w:p>
    <w:sectPr w:rsidR="00640C07" w:rsidSect="00640C07">
      <w:headerReference w:type="default" r:id="rId6"/>
      <w:footerReference w:type="default" r:id="rId7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31C" w:rsidRDefault="0084531C" w:rsidP="00960454">
      <w:pPr>
        <w:spacing w:line="240" w:lineRule="auto"/>
      </w:pPr>
      <w:r>
        <w:separator/>
      </w:r>
    </w:p>
  </w:endnote>
  <w:endnote w:type="continuationSeparator" w:id="0">
    <w:p w:rsidR="0084531C" w:rsidRDefault="0084531C" w:rsidP="009604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86E" w:rsidRDefault="000F186E">
    <w:pPr>
      <w:pStyle w:val="Normln1"/>
      <w:rPr>
        <w:color w:val="666666"/>
        <w:sz w:val="12"/>
        <w:szCs w:val="12"/>
      </w:rPr>
    </w:pPr>
  </w:p>
  <w:tbl>
    <w:tblPr>
      <w:tblW w:w="9921" w:type="dxa"/>
      <w:tblLayout w:type="fixed"/>
      <w:tblLook w:val="0600" w:firstRow="0" w:lastRow="0" w:firstColumn="0" w:lastColumn="0" w:noHBand="1" w:noVBand="1"/>
    </w:tblPr>
    <w:tblGrid>
      <w:gridCol w:w="8221"/>
      <w:gridCol w:w="1700"/>
    </w:tblGrid>
    <w:tr w:rsidR="000F186E">
      <w:tc>
        <w:tcPr>
          <w:tcW w:w="8220" w:type="dxa"/>
          <w:tcMar>
            <w:left w:w="0" w:type="dxa"/>
            <w:right w:w="0" w:type="dxa"/>
          </w:tcMar>
        </w:tcPr>
        <w:p w:rsidR="000F186E" w:rsidRDefault="006147B9" w:rsidP="00960454">
          <w:pPr>
            <w:pStyle w:val="Normln1"/>
            <w:widowControl w:val="0"/>
            <w:spacing w:line="240" w:lineRule="auto"/>
            <w:rPr>
              <w:color w:val="808080" w:themeColor="background1" w:themeShade="80"/>
              <w:sz w:val="20"/>
              <w:szCs w:val="20"/>
            </w:rPr>
          </w:pPr>
          <w:r>
            <w:t>Dodávka a instalace informačních LCD monitorů do vozidel MHD</w:t>
          </w:r>
          <w:r w:rsidR="000F186E" w:rsidRPr="00643E70">
            <w:rPr>
              <w:color w:val="808080" w:themeColor="background1" w:themeShade="80"/>
              <w:sz w:val="20"/>
              <w:szCs w:val="20"/>
            </w:rPr>
            <w:t xml:space="preserve"> </w:t>
          </w:r>
        </w:p>
        <w:p w:rsidR="000F186E" w:rsidRDefault="000F186E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Základní harmonogram plnění - příloha č.12 ZD / č.5 SOD</w:t>
          </w:r>
        </w:p>
      </w:tc>
      <w:tc>
        <w:tcPr>
          <w:tcW w:w="1700" w:type="dxa"/>
          <w:tcMar>
            <w:left w:w="0" w:type="dxa"/>
            <w:right w:w="0" w:type="dxa"/>
          </w:tcMar>
        </w:tcPr>
        <w:p w:rsidR="000F186E" w:rsidRDefault="000F186E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AD175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AD1751">
            <w:rPr>
              <w:color w:val="666666"/>
              <w:sz w:val="20"/>
              <w:szCs w:val="20"/>
            </w:rPr>
            <w:fldChar w:fldCharType="separate"/>
          </w:r>
          <w:r w:rsidR="00E96623">
            <w:rPr>
              <w:noProof/>
              <w:color w:val="666666"/>
              <w:sz w:val="20"/>
              <w:szCs w:val="20"/>
            </w:rPr>
            <w:t>1</w:t>
          </w:r>
          <w:r w:rsidR="00AD1751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AD175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AD1751">
            <w:rPr>
              <w:color w:val="666666"/>
              <w:sz w:val="20"/>
              <w:szCs w:val="20"/>
            </w:rPr>
            <w:fldChar w:fldCharType="separate"/>
          </w:r>
          <w:r w:rsidR="00E96623">
            <w:rPr>
              <w:noProof/>
              <w:color w:val="666666"/>
              <w:sz w:val="20"/>
              <w:szCs w:val="20"/>
            </w:rPr>
            <w:t>1</w:t>
          </w:r>
          <w:r w:rsidR="00AD1751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0F186E" w:rsidRDefault="000F186E">
    <w:pPr>
      <w:pStyle w:val="Normln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31C" w:rsidRDefault="0084531C" w:rsidP="00960454">
      <w:pPr>
        <w:spacing w:line="240" w:lineRule="auto"/>
      </w:pPr>
      <w:r>
        <w:separator/>
      </w:r>
    </w:p>
  </w:footnote>
  <w:footnote w:type="continuationSeparator" w:id="0">
    <w:p w:rsidR="0084531C" w:rsidRDefault="0084531C" w:rsidP="009604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86E" w:rsidRDefault="000F186E">
    <w:pPr>
      <w:pStyle w:val="Normln1"/>
      <w:spacing w:before="60" w:after="60"/>
      <w:ind w:left="720" w:hanging="360"/>
    </w:pPr>
  </w:p>
  <w:tbl>
    <w:tblPr>
      <w:tblW w:w="9921" w:type="dxa"/>
      <w:jc w:val="right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0F186E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0F186E" w:rsidRDefault="000F186E">
          <w:pPr>
            <w:pStyle w:val="Normln1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11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0F186E" w:rsidRDefault="000F186E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12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0F186E" w:rsidRDefault="000F186E">
    <w:pPr>
      <w:pStyle w:val="Normln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A11"/>
    <w:rsid w:val="000A4949"/>
    <w:rsid w:val="000E72F2"/>
    <w:rsid w:val="000F186E"/>
    <w:rsid w:val="001E59B8"/>
    <w:rsid w:val="00292B47"/>
    <w:rsid w:val="0030334A"/>
    <w:rsid w:val="003068E7"/>
    <w:rsid w:val="00334D31"/>
    <w:rsid w:val="003F4EC7"/>
    <w:rsid w:val="004A4A9E"/>
    <w:rsid w:val="005370BA"/>
    <w:rsid w:val="00593AF4"/>
    <w:rsid w:val="006147B9"/>
    <w:rsid w:val="00640C07"/>
    <w:rsid w:val="00740914"/>
    <w:rsid w:val="007F6976"/>
    <w:rsid w:val="0084531C"/>
    <w:rsid w:val="00960454"/>
    <w:rsid w:val="0096691B"/>
    <w:rsid w:val="009E0D74"/>
    <w:rsid w:val="00A043F5"/>
    <w:rsid w:val="00A40A11"/>
    <w:rsid w:val="00AD1751"/>
    <w:rsid w:val="00B75D34"/>
    <w:rsid w:val="00D50018"/>
    <w:rsid w:val="00DA62CB"/>
    <w:rsid w:val="00E60D2D"/>
    <w:rsid w:val="00E96623"/>
    <w:rsid w:val="00F805C3"/>
    <w:rsid w:val="00FB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4151068-2256-4D04-9BD3-D7BEA0A8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A11"/>
    <w:pPr>
      <w:spacing w:after="0"/>
    </w:pPr>
    <w:rPr>
      <w:rFonts w:ascii="Arial" w:eastAsia="Arial" w:hAnsi="Arial" w:cs="Arial"/>
      <w:color w:val="000000"/>
      <w:lang w:eastAsia="cs-CZ"/>
    </w:rPr>
  </w:style>
  <w:style w:type="paragraph" w:styleId="Nadpis1">
    <w:name w:val="heading 1"/>
    <w:basedOn w:val="Normln1"/>
    <w:next w:val="Normln1"/>
    <w:link w:val="Nadpis1Char"/>
    <w:rsid w:val="00A40A11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40A11"/>
    <w:rPr>
      <w:rFonts w:ascii="Arial" w:eastAsia="Arial" w:hAnsi="Arial" w:cs="Arial"/>
      <w:b/>
      <w:color w:val="000000"/>
      <w:sz w:val="32"/>
      <w:szCs w:val="32"/>
      <w:lang w:eastAsia="cs-CZ"/>
    </w:rPr>
  </w:style>
  <w:style w:type="paragraph" w:customStyle="1" w:styleId="Normln1">
    <w:name w:val="Normální1"/>
    <w:rsid w:val="00A40A11"/>
    <w:pPr>
      <w:spacing w:after="0"/>
    </w:pPr>
    <w:rPr>
      <w:rFonts w:ascii="Arial" w:eastAsia="Arial" w:hAnsi="Arial" w:cs="Arial"/>
      <w:color w:val="00000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0A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0A11"/>
    <w:rPr>
      <w:rFonts w:ascii="Tahoma" w:eastAsia="Arial" w:hAnsi="Tahoma" w:cs="Tahoma"/>
      <w:color w:val="00000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6045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0454"/>
    <w:rPr>
      <w:rFonts w:ascii="Arial" w:eastAsia="Arial" w:hAnsi="Arial" w:cs="Arial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045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0454"/>
    <w:rPr>
      <w:rFonts w:ascii="Arial" w:eastAsia="Arial" w:hAnsi="Arial" w:cs="Arial"/>
      <w:color w:val="000000"/>
      <w:lang w:eastAsia="cs-CZ"/>
    </w:rPr>
  </w:style>
  <w:style w:type="character" w:styleId="Odkaznakoment">
    <w:name w:val="annotation reference"/>
    <w:basedOn w:val="Standardnpsmoodstavce"/>
    <w:semiHidden/>
    <w:unhideWhenUsed/>
    <w:rsid w:val="000F186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F186E"/>
    <w:pPr>
      <w:widowControl w:val="0"/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F186E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mQfQESBQZv72PJefECfi1JOWjQOZle+Pr0532qlo1Tg=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exwZNM88NCUJlSlo3TLl8SI+iWId1DDznPgPXgrzHso=</DigestValue>
    </Reference>
  </SignedInfo>
  <SignatureValue>gZ3bch/GAKnmTbPRbaOqAWFq0GbkONJuZBK5lq2A+lv+CHKMlmiJe99YWP/9FWQ0kr+fq76kch8z
M+q49sz2GgFhZAWNILQvzhqaLXPrIpNbsgMQucVIckReMueL/WgHf7hiOo9F1iL114EOPEMOcs1r
u0OygsoAjH40HWrnclW3m+/FjGvzHkK80wybGp51UO7Yui1kiKy2S6sTQk7hgaduUya091vh6RaG
akynjJl1cbdqn6iHjZhz/nvB6Bp6BLfJPPvEoDVQHpNVRlauiY+xReLxcBEJ1cK1/xCZZAQ+RsTd
hNmMItg6zKHJK8dZivH2Vjp7iJE0f6vuwii6IQ==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Qn6paTkaYkS4IHJBJ92UvMvguCjikyd9NS6NMlvBZaM=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98knw+ju8pFcSRblJalHC1lJqDYCrNAseomw5sIm85E=</DigestValue>
      </Reference>
      <Reference URI="/word/endnotes.xml?ContentType=application/vnd.openxmlformats-officedocument.wordprocessingml.endnotes+xml">
        <DigestMethod Algorithm="http://www.w3.org/2001/04/xmlenc#sha256"/>
        <DigestValue>CJx45csRC0oH18jzE1AV890anvb3pcafILYBm5Xat+s=</DigestValue>
      </Reference>
      <Reference URI="/word/fontTable.xml?ContentType=application/vnd.openxmlformats-officedocument.wordprocessingml.fontTable+xml">
        <DigestMethod Algorithm="http://www.w3.org/2001/04/xmlenc#sha256"/>
        <DigestValue>5kf2UZA1FhonNu9LwDubqRfugiYy7VrPwqAYVOGun9I=</DigestValue>
      </Reference>
      <Reference URI="/word/footer1.xml?ContentType=application/vnd.openxmlformats-officedocument.wordprocessingml.footer+xml">
        <DigestMethod Algorithm="http://www.w3.org/2001/04/xmlenc#sha256"/>
        <DigestValue>qMtqQDx1r72kgY77VJ1h+ss7++5mfzw60HIiMgRIIjQ=</DigestValue>
      </Reference>
      <Reference URI="/word/footnotes.xml?ContentType=application/vnd.openxmlformats-officedocument.wordprocessingml.footnotes+xml">
        <DigestMethod Algorithm="http://www.w3.org/2001/04/xmlenc#sha256"/>
        <DigestValue>lzOPW6MGtVf6aQjcqwlObtzav24W2tidLprnCa1sZ6s=</DigestValue>
      </Reference>
      <Reference URI="/word/header1.xml?ContentType=application/vnd.openxmlformats-officedocument.wordprocessingml.header+xml">
        <DigestMethod Algorithm="http://www.w3.org/2001/04/xmlenc#sha256"/>
        <DigestValue>WX3BrJkoIGGYg0mUL97LtHEi2dTeGA6N1zx0x5nSPoQ=</DigestValue>
      </Reference>
      <Reference URI="/word/media/image1.png?ContentType=image/png">
        <DigestMethod Algorithm="http://www.w3.org/2001/04/xmlenc#sha256"/>
        <DigestValue>wNJL25niaZQ6ZarmoGHB7fh4yWt7Ea5mf+I1+q8Auw0=</DigestValue>
      </Reference>
      <Reference URI="/word/media/image2.png?ContentType=image/png">
        <DigestMethod Algorithm="http://www.w3.org/2001/04/xmlenc#sha256"/>
        <DigestValue>+3Qth355aOaGczuy161JzbQF1lwFIFeVIr0VnkumY1g=</DigestValue>
      </Reference>
      <Reference URI="/word/settings.xml?ContentType=application/vnd.openxmlformats-officedocument.wordprocessingml.settings+xml">
        <DigestMethod Algorithm="http://www.w3.org/2001/04/xmlenc#sha256"/>
        <DigestValue>EYKCJokXbTupzacJjTYwvhVKL6EUtqSgPSvOoHrOGvk=</DigestValue>
      </Reference>
      <Reference URI="/word/styles.xml?ContentType=application/vnd.openxmlformats-officedocument.wordprocessingml.styles+xml">
        <DigestMethod Algorithm="http://www.w3.org/2001/04/xmlenc#sha256"/>
        <DigestValue>UXrG+kSjLhm+OxhNBiXRN7d9RGEhDsHCh4NUKHT71D4=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D0lo86WqO+xRG2g/Y8mXjCZgyCDqojQ+FM84+Ns9sNk=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2018-04-06T08:11:50Z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2018-04-06T08:11:50Z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vaverkar</dc:creator>
  <cp:lastModifiedBy>Holušová Karla, Bc.</cp:lastModifiedBy>
  <cp:revision>18</cp:revision>
  <cp:lastPrinted>2018-03-21T05:57:00Z</cp:lastPrinted>
  <dcterms:created xsi:type="dcterms:W3CDTF">2017-09-05T11:24:00Z</dcterms:created>
  <dcterms:modified xsi:type="dcterms:W3CDTF">2018-03-21T05:57:00Z</dcterms:modified>
</cp:coreProperties>
</file>