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31503C85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4B6EDB">
        <w:rPr>
          <w:rFonts w:eastAsia="Calibri"/>
          <w:b/>
          <w:iCs/>
          <w:sz w:val="22"/>
          <w:szCs w:val="22"/>
          <w:lang w:eastAsia="en-US"/>
        </w:rPr>
        <w:t>Rámcová smlouva – Koordinátor BOZP</w:t>
      </w:r>
      <w:r w:rsidR="0059324A">
        <w:rPr>
          <w:rFonts w:eastAsia="Calibri"/>
          <w:b/>
          <w:iCs/>
          <w:sz w:val="22"/>
          <w:szCs w:val="22"/>
          <w:lang w:eastAsia="en-US"/>
        </w:rPr>
        <w:t xml:space="preserve"> na staveništi staveb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</w:t>
      </w:r>
      <w:proofErr w:type="gramStart"/>
      <w:r w:rsidRPr="00F75124">
        <w:rPr>
          <w:bCs/>
          <w:iCs/>
          <w:sz w:val="22"/>
          <w:szCs w:val="22"/>
        </w:rPr>
        <w:t xml:space="preserve">zadavatelem:  </w:t>
      </w:r>
      <w:r w:rsidRPr="00F75124">
        <w:rPr>
          <w:bCs/>
          <w:iCs/>
          <w:sz w:val="22"/>
          <w:szCs w:val="22"/>
        </w:rPr>
        <w:tab/>
      </w:r>
      <w:proofErr w:type="gramEnd"/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3BF5" w14:textId="77777777" w:rsidR="0077108F" w:rsidRDefault="0077108F" w:rsidP="005026BE">
      <w:r>
        <w:separator/>
      </w:r>
    </w:p>
  </w:endnote>
  <w:endnote w:type="continuationSeparator" w:id="0">
    <w:p w14:paraId="5A16198D" w14:textId="77777777" w:rsidR="0077108F" w:rsidRDefault="0077108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501A" w14:textId="77777777" w:rsidR="0077108F" w:rsidRDefault="0077108F" w:rsidP="005026BE">
      <w:r>
        <w:separator/>
      </w:r>
    </w:p>
  </w:footnote>
  <w:footnote w:type="continuationSeparator" w:id="0">
    <w:p w14:paraId="6CC2C379" w14:textId="77777777" w:rsidR="0077108F" w:rsidRDefault="0077108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7F1A337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08311A">
      <w:rPr>
        <w:rFonts w:asciiTheme="minorHAnsi" w:hAnsiTheme="minorHAnsi" w:cstheme="minorHAnsi"/>
        <w:bCs/>
        <w:i/>
        <w:iCs/>
      </w:rPr>
      <w:t>6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8311A"/>
    <w:rsid w:val="000A1CD8"/>
    <w:rsid w:val="000A63CB"/>
    <w:rsid w:val="000F566B"/>
    <w:rsid w:val="0010591C"/>
    <w:rsid w:val="00151B2D"/>
    <w:rsid w:val="00153041"/>
    <w:rsid w:val="001621EB"/>
    <w:rsid w:val="00165F7D"/>
    <w:rsid w:val="00186C0B"/>
    <w:rsid w:val="001E7026"/>
    <w:rsid w:val="001F76C5"/>
    <w:rsid w:val="00221AA1"/>
    <w:rsid w:val="002818CE"/>
    <w:rsid w:val="00295304"/>
    <w:rsid w:val="002B29B0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B6EDB"/>
    <w:rsid w:val="004C5D08"/>
    <w:rsid w:val="005026BE"/>
    <w:rsid w:val="00560072"/>
    <w:rsid w:val="005809A3"/>
    <w:rsid w:val="00592160"/>
    <w:rsid w:val="0059324A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274F"/>
    <w:rsid w:val="00710C90"/>
    <w:rsid w:val="007115A2"/>
    <w:rsid w:val="0071542B"/>
    <w:rsid w:val="007305E4"/>
    <w:rsid w:val="00750C32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56FD6"/>
    <w:rsid w:val="008716AF"/>
    <w:rsid w:val="00882A11"/>
    <w:rsid w:val="00894951"/>
    <w:rsid w:val="008F10EB"/>
    <w:rsid w:val="009352AE"/>
    <w:rsid w:val="009518C3"/>
    <w:rsid w:val="00971928"/>
    <w:rsid w:val="009851DC"/>
    <w:rsid w:val="009B0C47"/>
    <w:rsid w:val="009D0943"/>
    <w:rsid w:val="00A12925"/>
    <w:rsid w:val="00A21CD7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492E4-5CD9-4FCA-9097-6C72702645DC}">
  <ds:schemaRefs>
    <ds:schemaRef ds:uri="http://purl.org/dc/elements/1.1/"/>
    <ds:schemaRef ds:uri="9dc19e6d-106c-4d90-aa7a-8610c939c6af"/>
    <ds:schemaRef ds:uri="http://www.w3.org/XML/1998/namespace"/>
    <ds:schemaRef ds:uri="http://purl.org/dc/terms/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8D9225-C182-4263-B304-4995C1891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21</cp:revision>
  <cp:lastPrinted>2026-01-21T10:49:00Z</cp:lastPrinted>
  <dcterms:created xsi:type="dcterms:W3CDTF">2025-02-11T11:25:00Z</dcterms:created>
  <dcterms:modified xsi:type="dcterms:W3CDTF">2026-01-21T10:49:00Z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