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0AB3379D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E9571C" w:rsidRPr="00D20534">
        <w:rPr>
          <w:rFonts w:ascii="Arial" w:hAnsi="Arial" w:cs="Arial"/>
          <w:b/>
          <w:sz w:val="18"/>
          <w:szCs w:val="18"/>
        </w:rPr>
        <w:t>Kyjov – přístupová komunikace k MŠ nádražní</w:t>
      </w: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03F008F4" w:rsidR="00753140" w:rsidRPr="00E9571C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Bankovní spojení:</w:t>
      </w:r>
      <w:r w:rsidRPr="00E9571C">
        <w:rPr>
          <w:rFonts w:ascii="Arial" w:hAnsi="Arial" w:cs="Arial"/>
          <w:sz w:val="18"/>
          <w:szCs w:val="18"/>
        </w:rPr>
        <w:t xml:space="preserve"> </w:t>
      </w:r>
      <w:r w:rsidR="00E9571C" w:rsidRPr="00E9571C">
        <w:rPr>
          <w:rFonts w:ascii="Arial" w:hAnsi="Arial" w:cs="Arial"/>
          <w:sz w:val="18"/>
          <w:szCs w:val="18"/>
        </w:rPr>
        <w:t xml:space="preserve">             Komerční banka, a.s.</w:t>
      </w:r>
    </w:p>
    <w:p w14:paraId="5D0D286D" w14:textId="7C19FB0B" w:rsidR="00753140" w:rsidRPr="00E9571C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Číslo účtu:</w:t>
      </w:r>
      <w:r w:rsidRPr="00E9571C">
        <w:rPr>
          <w:rFonts w:ascii="Arial" w:hAnsi="Arial" w:cs="Arial"/>
          <w:sz w:val="18"/>
          <w:szCs w:val="18"/>
        </w:rPr>
        <w:tab/>
      </w:r>
      <w:r w:rsidRPr="00E9571C">
        <w:rPr>
          <w:rFonts w:ascii="Arial" w:hAnsi="Arial" w:cs="Arial"/>
          <w:sz w:val="18"/>
          <w:szCs w:val="18"/>
        </w:rPr>
        <w:tab/>
      </w:r>
      <w:r w:rsidR="00E9571C" w:rsidRPr="00E9571C">
        <w:rPr>
          <w:rFonts w:ascii="Arial" w:hAnsi="Arial" w:cs="Arial"/>
          <w:sz w:val="18"/>
          <w:szCs w:val="18"/>
        </w:rPr>
        <w:t>č.ú. 1887430267/0100</w:t>
      </w:r>
    </w:p>
    <w:p w14:paraId="01F6B6BF" w14:textId="22CAFBD9" w:rsidR="00E9571C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Zastoupen</w:t>
      </w:r>
      <w:r w:rsidR="002D592D" w:rsidRPr="00D20534">
        <w:rPr>
          <w:rFonts w:ascii="Arial" w:hAnsi="Arial" w:cs="Arial"/>
          <w:sz w:val="18"/>
          <w:szCs w:val="18"/>
        </w:rPr>
        <w:t>ý</w:t>
      </w:r>
      <w:r w:rsidRPr="00D20534">
        <w:rPr>
          <w:rFonts w:ascii="Arial" w:hAnsi="Arial" w:cs="Arial"/>
          <w:sz w:val="18"/>
          <w:szCs w:val="18"/>
        </w:rPr>
        <w:t>:</w:t>
      </w:r>
      <w:r w:rsidR="00E9571C">
        <w:rPr>
          <w:rFonts w:ascii="Arial" w:hAnsi="Arial" w:cs="Arial"/>
          <w:sz w:val="18"/>
          <w:szCs w:val="18"/>
        </w:rPr>
        <w:t xml:space="preserve">                       </w:t>
      </w:r>
      <w:r w:rsidR="00E9571C" w:rsidRPr="00837DF3">
        <w:rPr>
          <w:rFonts w:ascii="Arial" w:hAnsi="Arial" w:cs="Arial"/>
          <w:sz w:val="18"/>
          <w:szCs w:val="18"/>
        </w:rPr>
        <w:t xml:space="preserve">Romanem Pekárkem, vedoucím Odboru rozvoje města Městského úřadu Kyjov na </w:t>
      </w:r>
      <w:r w:rsidR="00E9571C">
        <w:rPr>
          <w:rFonts w:ascii="Arial" w:hAnsi="Arial" w:cs="Arial"/>
          <w:sz w:val="18"/>
          <w:szCs w:val="18"/>
        </w:rPr>
        <w:t xml:space="preserve">  </w:t>
      </w:r>
    </w:p>
    <w:p w14:paraId="5E6F758B" w14:textId="4FC64B12" w:rsidR="00B36B0E" w:rsidRDefault="00E9571C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837DF3">
        <w:rPr>
          <w:rFonts w:ascii="Arial" w:hAnsi="Arial" w:cs="Arial"/>
          <w:sz w:val="18"/>
          <w:szCs w:val="18"/>
        </w:rPr>
        <w:t>Základě</w:t>
      </w:r>
      <w:r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vnitřního předpisu Pravidla pro zadávání veřejných zakázek</w:t>
      </w:r>
    </w:p>
    <w:p w14:paraId="5CD4C54C" w14:textId="66CC5C9E" w:rsidR="00115A2B" w:rsidRPr="00375846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E9571C" w:rsidRPr="00837DF3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375846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128B57F6" w:rsidR="00A956D8" w:rsidRPr="00232D44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2D44">
        <w:rPr>
          <w:rFonts w:ascii="Arial" w:hAnsi="Arial" w:cs="Arial"/>
          <w:sz w:val="18"/>
          <w:szCs w:val="18"/>
        </w:rPr>
        <w:t>Dílem se rozumí</w:t>
      </w:r>
      <w:r w:rsidR="0012546D" w:rsidRPr="00D20534">
        <w:rPr>
          <w:rFonts w:ascii="Arial" w:hAnsi="Arial" w:cs="Arial"/>
          <w:sz w:val="18"/>
          <w:szCs w:val="18"/>
        </w:rPr>
        <w:t xml:space="preserve"> </w:t>
      </w:r>
      <w:r w:rsidR="0012546D" w:rsidRPr="00D20534">
        <w:rPr>
          <w:rFonts w:ascii="Arial" w:hAnsi="Arial" w:cs="Arial"/>
          <w:b/>
          <w:sz w:val="18"/>
          <w:szCs w:val="18"/>
        </w:rPr>
        <w:t>výměna</w:t>
      </w:r>
      <w:r w:rsidR="00E9571C" w:rsidRPr="00D20534">
        <w:rPr>
          <w:rFonts w:ascii="Arial" w:hAnsi="Arial" w:cs="Arial"/>
          <w:b/>
          <w:sz w:val="18"/>
          <w:szCs w:val="18"/>
        </w:rPr>
        <w:t xml:space="preserve"> </w:t>
      </w:r>
      <w:r w:rsidR="0012546D" w:rsidRPr="00D20534">
        <w:rPr>
          <w:rFonts w:ascii="Arial" w:hAnsi="Arial" w:cs="Arial"/>
          <w:b/>
          <w:sz w:val="18"/>
          <w:szCs w:val="18"/>
        </w:rPr>
        <w:t>stávajícího betonového monolitického krytu za nový dlážděný povrch s rekonstrukcí chodníků k bytovým domům a vybudování zpevněných ploch pro umístění kontejnerů s rozšířením VO</w:t>
      </w:r>
      <w:r w:rsidR="00567BD4" w:rsidRPr="00232D44">
        <w:rPr>
          <w:rFonts w:ascii="Arial" w:hAnsi="Arial" w:cs="Arial"/>
          <w:sz w:val="18"/>
          <w:szCs w:val="18"/>
        </w:rPr>
        <w:t>.</w:t>
      </w:r>
      <w:r w:rsidR="00E9571C" w:rsidRPr="00232D44">
        <w:rPr>
          <w:rFonts w:ascii="Arial" w:hAnsi="Arial" w:cs="Arial"/>
          <w:sz w:val="18"/>
          <w:szCs w:val="18"/>
        </w:rPr>
        <w:t xml:space="preserve"> </w:t>
      </w:r>
      <w:r w:rsidRPr="00232D44">
        <w:rPr>
          <w:rFonts w:ascii="Arial" w:hAnsi="Arial" w:cs="Arial"/>
          <w:sz w:val="18"/>
          <w:szCs w:val="18"/>
        </w:rPr>
        <w:t>(dále jen „dílo“),</w:t>
      </w:r>
      <w:r w:rsidR="008069CE" w:rsidRPr="00232D44">
        <w:rPr>
          <w:rFonts w:ascii="Arial" w:hAnsi="Arial" w:cs="Arial"/>
          <w:sz w:val="18"/>
          <w:szCs w:val="18"/>
        </w:rPr>
        <w:t xml:space="preserve"> </w:t>
      </w:r>
      <w:r w:rsidRPr="00232D44">
        <w:rPr>
          <w:rFonts w:ascii="Arial" w:hAnsi="Arial" w:cs="Arial"/>
          <w:sz w:val="18"/>
          <w:szCs w:val="18"/>
        </w:rPr>
        <w:t>specifikovan</w:t>
      </w:r>
      <w:r w:rsidR="0064375A" w:rsidRPr="00232D44">
        <w:rPr>
          <w:rFonts w:ascii="Arial" w:hAnsi="Arial" w:cs="Arial"/>
          <w:sz w:val="18"/>
          <w:szCs w:val="18"/>
        </w:rPr>
        <w:t>é</w:t>
      </w:r>
      <w:r w:rsidRPr="00232D44">
        <w:rPr>
          <w:rFonts w:ascii="Arial" w:hAnsi="Arial" w:cs="Arial"/>
          <w:sz w:val="18"/>
          <w:szCs w:val="18"/>
        </w:rPr>
        <w:t xml:space="preserve"> zejména </w:t>
      </w:r>
      <w:r w:rsidR="002113C4" w:rsidRPr="00232D44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232D44">
        <w:rPr>
          <w:rFonts w:ascii="Arial" w:hAnsi="Arial" w:cs="Arial"/>
          <w:sz w:val="18"/>
          <w:szCs w:val="18"/>
        </w:rPr>
        <w:t xml:space="preserve"> (vč. příloh)</w:t>
      </w:r>
      <w:r w:rsidR="00CE2BD7" w:rsidRPr="00232D44">
        <w:rPr>
          <w:rFonts w:ascii="Arial" w:hAnsi="Arial" w:cs="Arial"/>
          <w:sz w:val="18"/>
          <w:szCs w:val="18"/>
        </w:rPr>
        <w:t xml:space="preserve"> </w:t>
      </w:r>
      <w:r w:rsidRPr="00232D44">
        <w:rPr>
          <w:rFonts w:ascii="Arial" w:hAnsi="Arial" w:cs="Arial"/>
          <w:sz w:val="18"/>
          <w:szCs w:val="18"/>
        </w:rPr>
        <w:t>a touto smlouvou o dílo</w:t>
      </w:r>
      <w:r w:rsidR="002D592D" w:rsidRPr="00232D44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232D44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2D44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232D44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D20534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D20534">
        <w:rPr>
          <w:rFonts w:ascii="Arial" w:hAnsi="Arial" w:cs="Arial"/>
          <w:sz w:val="18"/>
          <w:szCs w:val="18"/>
        </w:rPr>
        <w:t>úhrada těchto nákladů</w:t>
      </w:r>
      <w:r w:rsidR="00D46B50" w:rsidRPr="00D20534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D20534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D2053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D20534">
        <w:rPr>
          <w:rFonts w:ascii="Arial" w:hAnsi="Arial" w:cs="Arial"/>
          <w:sz w:val="18"/>
          <w:szCs w:val="18"/>
        </w:rPr>
        <w:t>;</w:t>
      </w:r>
      <w:r w:rsidRPr="00D20534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D2053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D20534">
        <w:rPr>
          <w:rFonts w:ascii="Arial" w:hAnsi="Arial" w:cs="Arial"/>
          <w:sz w:val="18"/>
          <w:szCs w:val="18"/>
        </w:rPr>
        <w:t>;</w:t>
      </w:r>
    </w:p>
    <w:p w14:paraId="0C6CAA7E" w14:textId="01636277" w:rsidR="004B438A" w:rsidRPr="00D2053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zajištění průběžné fotodokumentace prováděných prací a její předání na </w:t>
      </w:r>
      <w:r w:rsidR="00F13A7D" w:rsidRPr="00D20534">
        <w:rPr>
          <w:rFonts w:ascii="Arial" w:hAnsi="Arial" w:cs="Arial"/>
          <w:sz w:val="18"/>
          <w:szCs w:val="18"/>
        </w:rPr>
        <w:t xml:space="preserve">USB </w:t>
      </w:r>
      <w:r w:rsidR="00567BD4" w:rsidRPr="00D20534">
        <w:rPr>
          <w:rFonts w:ascii="Arial" w:hAnsi="Arial" w:cs="Arial"/>
          <w:sz w:val="18"/>
          <w:szCs w:val="18"/>
        </w:rPr>
        <w:t>flash</w:t>
      </w:r>
      <w:r w:rsidR="00F13A7D" w:rsidRPr="00D20534">
        <w:rPr>
          <w:rFonts w:ascii="Arial" w:hAnsi="Arial" w:cs="Arial"/>
          <w:sz w:val="18"/>
          <w:szCs w:val="18"/>
        </w:rPr>
        <w:t xml:space="preserve"> </w:t>
      </w:r>
      <w:r w:rsidR="00567BD4" w:rsidRPr="00D20534">
        <w:rPr>
          <w:rFonts w:ascii="Arial" w:hAnsi="Arial" w:cs="Arial"/>
          <w:sz w:val="18"/>
          <w:szCs w:val="18"/>
        </w:rPr>
        <w:t>disku</w:t>
      </w:r>
      <w:r w:rsidRPr="00D20534">
        <w:rPr>
          <w:rFonts w:ascii="Arial" w:hAnsi="Arial" w:cs="Arial"/>
          <w:sz w:val="18"/>
          <w:szCs w:val="18"/>
        </w:rPr>
        <w:t xml:space="preserve"> při předání stavby</w:t>
      </w:r>
      <w:r w:rsidR="00AB0DEE" w:rsidRPr="00D20534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případné zajištění vyt</w:t>
      </w:r>
      <w:r w:rsidR="005A697D" w:rsidRPr="00D20534">
        <w:rPr>
          <w:rFonts w:ascii="Arial" w:hAnsi="Arial" w:cs="Arial"/>
          <w:sz w:val="18"/>
          <w:szCs w:val="18"/>
        </w:rPr>
        <w:t>ý</w:t>
      </w:r>
      <w:r w:rsidRPr="00D20534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D20534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D20534">
        <w:rPr>
          <w:rFonts w:ascii="Arial" w:hAnsi="Arial" w:cs="Arial"/>
          <w:sz w:val="18"/>
          <w:szCs w:val="18"/>
        </w:rPr>
        <w:t>.</w:t>
      </w:r>
      <w:r w:rsidR="006470FB" w:rsidRPr="00D20534">
        <w:rPr>
          <w:rFonts w:ascii="Arial" w:hAnsi="Arial" w:cs="Arial"/>
          <w:sz w:val="18"/>
          <w:szCs w:val="18"/>
        </w:rPr>
        <w:t xml:space="preserve"> </w:t>
      </w:r>
      <w:r w:rsidR="005A697D" w:rsidRPr="00D20534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zajištění případného</w:t>
      </w:r>
      <w:r w:rsidR="005A697D" w:rsidRPr="00D20534">
        <w:rPr>
          <w:rFonts w:ascii="Arial" w:hAnsi="Arial" w:cs="Arial"/>
          <w:sz w:val="18"/>
          <w:szCs w:val="18"/>
        </w:rPr>
        <w:t xml:space="preserve"> přechodného</w:t>
      </w:r>
      <w:r w:rsidRPr="00D20534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projednání a zajištění případného zvláštního užívání komunikací a veřejných ploch včetně úhrady </w:t>
      </w:r>
      <w:r w:rsidRPr="00D20534">
        <w:rPr>
          <w:rFonts w:ascii="Arial" w:hAnsi="Arial" w:cs="Arial"/>
          <w:sz w:val="18"/>
          <w:szCs w:val="18"/>
        </w:rPr>
        <w:lastRenderedPageBreak/>
        <w:t>vyměřených poplatků a nájemného</w:t>
      </w:r>
      <w:r w:rsidR="005A697D" w:rsidRPr="00D20534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D20534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D20534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D20534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D20534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D20534">
        <w:rPr>
          <w:rFonts w:ascii="Arial" w:hAnsi="Arial" w:cs="Arial"/>
          <w:sz w:val="18"/>
          <w:szCs w:val="18"/>
        </w:rPr>
        <w:t>, resp.</w:t>
      </w:r>
      <w:r w:rsidRPr="00D20534">
        <w:rPr>
          <w:rFonts w:ascii="Arial" w:hAnsi="Arial" w:cs="Arial"/>
          <w:sz w:val="18"/>
          <w:szCs w:val="18"/>
        </w:rPr>
        <w:t xml:space="preserve"> </w:t>
      </w:r>
      <w:r w:rsidR="00BB4E41" w:rsidRPr="00D20534">
        <w:rPr>
          <w:rFonts w:ascii="Arial" w:hAnsi="Arial" w:cs="Arial"/>
          <w:sz w:val="18"/>
          <w:szCs w:val="18"/>
        </w:rPr>
        <w:t xml:space="preserve">povolení záměru, případně </w:t>
      </w:r>
      <w:r w:rsidRPr="00D20534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D20534">
        <w:rPr>
          <w:rFonts w:ascii="Arial" w:hAnsi="Arial" w:cs="Arial"/>
          <w:sz w:val="18"/>
          <w:szCs w:val="18"/>
        </w:rPr>
        <w:t xml:space="preserve"> stanovených objednatelem</w:t>
      </w:r>
      <w:r w:rsidRPr="00D20534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D20534">
        <w:rPr>
          <w:rFonts w:ascii="Arial" w:hAnsi="Arial" w:cs="Arial"/>
          <w:sz w:val="18"/>
          <w:szCs w:val="18"/>
        </w:rPr>
        <w:t>zhotovitel</w:t>
      </w:r>
      <w:r w:rsidRPr="00D20534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5CC52A7F" w:rsidR="004F7411" w:rsidRPr="00D2053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F13A7D" w:rsidRPr="00D20534">
        <w:rPr>
          <w:rFonts w:ascii="Arial" w:hAnsi="Arial" w:cs="Arial"/>
          <w:sz w:val="18"/>
          <w:szCs w:val="18"/>
        </w:rPr>
        <w:t>4.500.000</w:t>
      </w:r>
      <w:r w:rsidRPr="00D20534">
        <w:rPr>
          <w:rFonts w:ascii="Arial" w:hAnsi="Arial" w:cs="Arial"/>
          <w:sz w:val="18"/>
          <w:szCs w:val="18"/>
        </w:rPr>
        <w:t>,- Kč.</w:t>
      </w:r>
    </w:p>
    <w:p w14:paraId="5F5848D9" w14:textId="66F196EA" w:rsidR="00C271AA" w:rsidRPr="00D20534" w:rsidRDefault="004F7411" w:rsidP="000B015E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D20534">
        <w:rPr>
          <w:rFonts w:ascii="Arial" w:hAnsi="Arial" w:cs="Arial"/>
          <w:sz w:val="18"/>
          <w:szCs w:val="18"/>
        </w:rPr>
        <w:t>třech</w:t>
      </w:r>
      <w:r w:rsidRPr="00D20534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D20534">
        <w:rPr>
          <w:rFonts w:ascii="Arial" w:hAnsi="Arial" w:cs="Arial"/>
          <w:sz w:val="18"/>
          <w:szCs w:val="18"/>
        </w:rPr>
        <w:t xml:space="preserve"> jednom</w:t>
      </w:r>
      <w:r w:rsidRPr="00D20534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D20534">
        <w:rPr>
          <w:rFonts w:ascii="Arial" w:hAnsi="Arial" w:cs="Arial"/>
          <w:sz w:val="18"/>
          <w:szCs w:val="18"/>
        </w:rPr>
        <w:t>.</w:t>
      </w:r>
      <w:r w:rsidR="00C271AA" w:rsidRPr="00D20534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="00C271AA" w:rsidRPr="00D20534">
          <w:rPr>
            <w:rStyle w:val="Hypertextovodkaz"/>
            <w:rFonts w:ascii="Arial" w:hAnsi="Arial" w:cs="Arial"/>
            <w:sz w:val="18"/>
            <w:szCs w:val="18"/>
          </w:rPr>
          <w:t>r.kubicek@mukyjov.cz</w:t>
        </w:r>
      </w:hyperlink>
      <w:r w:rsidR="00C271AA" w:rsidRPr="00D20534">
        <w:rPr>
          <w:rFonts w:ascii="Arial" w:hAnsi="Arial" w:cs="Arial"/>
          <w:sz w:val="18"/>
          <w:szCs w:val="18"/>
        </w:rPr>
        <w:t>.</w:t>
      </w:r>
    </w:p>
    <w:p w14:paraId="71AB60A8" w14:textId="0D6499EE" w:rsidR="00C271AA" w:rsidRPr="00D20534" w:rsidRDefault="00C271AA" w:rsidP="00C271A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V případě základní prostorové situace (ZPS) – polohopis: Vyhotovení geodetického podkladu</w:t>
      </w:r>
      <w:r w:rsidR="00B44582" w:rsidRPr="00D20534">
        <w:rPr>
          <w:rFonts w:ascii="Arial" w:hAnsi="Arial" w:cs="Arial"/>
          <w:sz w:val="18"/>
          <w:szCs w:val="18"/>
        </w:rPr>
        <w:t xml:space="preserve"> pro vedení DTM Jihomoravského</w:t>
      </w:r>
      <w:r w:rsidRPr="00D20534">
        <w:rPr>
          <w:rFonts w:ascii="Arial" w:hAnsi="Arial" w:cs="Arial"/>
          <w:sz w:val="18"/>
          <w:szCs w:val="18"/>
        </w:rPr>
        <w:t xml:space="preserve">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</w:t>
      </w:r>
      <w:r w:rsidRPr="00D20534">
        <w:rPr>
          <w:rFonts w:ascii="Arial" w:hAnsi="Arial" w:cs="Arial"/>
          <w:sz w:val="18"/>
          <w:szCs w:val="18"/>
        </w:rPr>
        <w:lastRenderedPageBreak/>
        <w:t xml:space="preserve">objekty nad rámec DTM (extenze).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 Kontaktní osoba objednatele ve věcech DTM je Richard Kubíček, tel. 518 697 453, e-mail: </w:t>
      </w:r>
      <w:hyperlink r:id="rId9" w:history="1">
        <w:r w:rsidRPr="00D20534">
          <w:rPr>
            <w:rStyle w:val="Hypertextovodkaz"/>
            <w:rFonts w:ascii="Arial" w:hAnsi="Arial" w:cs="Arial"/>
            <w:sz w:val="18"/>
            <w:szCs w:val="18"/>
          </w:rPr>
          <w:t>r.kubicek@mukyjov.cz</w:t>
        </w:r>
      </w:hyperlink>
      <w:r w:rsidRPr="00D20534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0B015E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7389FFBB" w:rsidR="00AA3DB3" w:rsidRPr="00D20534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Zhotovitel zajistí výkon funkce </w:t>
      </w:r>
      <w:r w:rsidRPr="00D20534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</w:t>
      </w:r>
      <w:r w:rsidR="00B35E17" w:rsidRPr="00D20534">
        <w:rPr>
          <w:rFonts w:ascii="Arial" w:hAnsi="Arial" w:cs="Arial"/>
          <w:sz w:val="18"/>
          <w:szCs w:val="18"/>
          <w:lang w:bidi="cs-CZ"/>
        </w:rPr>
        <w:t> </w:t>
      </w:r>
      <w:r w:rsidRPr="00D20534">
        <w:rPr>
          <w:rFonts w:ascii="Arial" w:hAnsi="Arial" w:cs="Arial"/>
          <w:sz w:val="18"/>
          <w:szCs w:val="18"/>
          <w:lang w:bidi="cs-CZ"/>
        </w:rPr>
        <w:t>oboru</w:t>
      </w:r>
      <w:r w:rsidR="00B35E17" w:rsidRPr="00D20534">
        <w:rPr>
          <w:rFonts w:ascii="Arial" w:hAnsi="Arial" w:cs="Arial"/>
          <w:sz w:val="18"/>
          <w:szCs w:val="18"/>
        </w:rPr>
        <w:t xml:space="preserve"> dopravní stavby</w:t>
      </w:r>
      <w:r w:rsidRPr="00D20534">
        <w:rPr>
          <w:rFonts w:ascii="Arial" w:hAnsi="Arial" w:cs="Arial"/>
          <w:sz w:val="18"/>
          <w:szCs w:val="18"/>
        </w:rPr>
        <w:t xml:space="preserve"> </w:t>
      </w:r>
      <w:r w:rsidRPr="00D20534">
        <w:rPr>
          <w:rFonts w:ascii="Arial" w:hAnsi="Arial" w:cs="Arial"/>
          <w:sz w:val="18"/>
          <w:szCs w:val="18"/>
          <w:lang w:bidi="cs-CZ"/>
        </w:rPr>
        <w:t xml:space="preserve">s praxí v oboru minimálně </w:t>
      </w:r>
      <w:r w:rsidR="00B35E17" w:rsidRPr="00D20534">
        <w:rPr>
          <w:rFonts w:ascii="Arial" w:hAnsi="Arial" w:cs="Arial"/>
          <w:sz w:val="18"/>
          <w:szCs w:val="18"/>
          <w:lang w:bidi="cs-CZ"/>
        </w:rPr>
        <w:t>5</w:t>
      </w:r>
      <w:r w:rsidRPr="00D20534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1EB5D8E2" w14:textId="77777777" w:rsidR="009076BD" w:rsidRPr="00D20534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D20534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3033A1B" w:rsidR="002113C4" w:rsidRPr="00375846" w:rsidRDefault="007C67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2113C4"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="002113C4"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="002113C4"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1770DF2A" w14:textId="602E17B0" w:rsidR="00375846" w:rsidRPr="00375846" w:rsidRDefault="00633283" w:rsidP="00633283">
      <w:pPr>
        <w:widowControl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8EE1DEE" w14:textId="02AAE625" w:rsidR="004E39D2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  <w:r w:rsidR="00B35E17">
        <w:rPr>
          <w:rFonts w:ascii="Arial" w:hAnsi="Arial" w:cs="Arial"/>
          <w:sz w:val="18"/>
          <w:szCs w:val="18"/>
        </w:rPr>
        <w:t xml:space="preserve"> </w:t>
      </w:r>
      <w:r w:rsidR="00311681" w:rsidRPr="00B36B0E">
        <w:rPr>
          <w:rFonts w:ascii="Arial" w:hAnsi="Arial" w:cs="Arial"/>
          <w:sz w:val="18"/>
          <w:szCs w:val="18"/>
        </w:rPr>
        <w:t>staveniště (zahájení doby plnění):</w:t>
      </w:r>
      <w:r w:rsidR="00B67B19" w:rsidRPr="00B36B0E">
        <w:rPr>
          <w:rFonts w:ascii="Arial" w:hAnsi="Arial" w:cs="Arial"/>
          <w:sz w:val="18"/>
          <w:szCs w:val="18"/>
        </w:rPr>
        <w:t xml:space="preserve"> </w:t>
      </w:r>
      <w:r w:rsidR="00CF3C88" w:rsidRPr="00232D44">
        <w:rPr>
          <w:rFonts w:ascii="Arial" w:hAnsi="Arial" w:cs="Arial"/>
          <w:sz w:val="18"/>
          <w:szCs w:val="18"/>
        </w:rPr>
        <w:t xml:space="preserve">do </w:t>
      </w:r>
      <w:r w:rsidR="00B35E17" w:rsidRPr="00D20534">
        <w:rPr>
          <w:rFonts w:ascii="Arial" w:hAnsi="Arial" w:cs="Arial"/>
          <w:sz w:val="18"/>
          <w:szCs w:val="18"/>
        </w:rPr>
        <w:t>7</w:t>
      </w:r>
      <w:r w:rsidR="00186F3B" w:rsidRPr="00232D44">
        <w:rPr>
          <w:rFonts w:ascii="Arial" w:hAnsi="Arial" w:cs="Arial"/>
          <w:sz w:val="18"/>
          <w:szCs w:val="18"/>
        </w:rPr>
        <w:t xml:space="preserve"> dní</w:t>
      </w:r>
      <w:r w:rsidR="00DD5985" w:rsidRPr="00232D44">
        <w:rPr>
          <w:rFonts w:ascii="Arial" w:hAnsi="Arial" w:cs="Arial"/>
          <w:sz w:val="18"/>
          <w:szCs w:val="18"/>
        </w:rPr>
        <w:t xml:space="preserve"> od </w:t>
      </w:r>
      <w:r w:rsidR="005468C9" w:rsidRPr="00D20534">
        <w:rPr>
          <w:rFonts w:ascii="Arial" w:hAnsi="Arial" w:cs="Arial"/>
          <w:sz w:val="18"/>
          <w:szCs w:val="18"/>
        </w:rPr>
        <w:t>doručení výzvy objednatele</w:t>
      </w:r>
    </w:p>
    <w:p w14:paraId="57BBC2F9" w14:textId="77777777" w:rsidR="00F8019A" w:rsidRPr="00B36B0E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00F3483A" w:rsidR="00311681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dokončení a protokolárního předání</w:t>
      </w:r>
      <w:r w:rsidR="00311681" w:rsidRPr="00B36B0E">
        <w:rPr>
          <w:rFonts w:ascii="Arial" w:hAnsi="Arial" w:cs="Arial"/>
          <w:sz w:val="18"/>
          <w:szCs w:val="18"/>
        </w:rPr>
        <w:t>a převzetí díla</w:t>
      </w:r>
      <w:r w:rsidR="002113C4" w:rsidRPr="00B36B0E">
        <w:rPr>
          <w:rFonts w:ascii="Arial" w:hAnsi="Arial" w:cs="Arial"/>
          <w:sz w:val="18"/>
          <w:szCs w:val="18"/>
        </w:rPr>
        <w:t xml:space="preserve"> a odstranění zařízenístaveniště</w:t>
      </w:r>
      <w:r w:rsidRPr="00B36B0E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B36B0E">
        <w:rPr>
          <w:rFonts w:ascii="Arial" w:hAnsi="Arial" w:cs="Arial"/>
          <w:sz w:val="18"/>
          <w:szCs w:val="18"/>
        </w:rPr>
        <w:t>:</w:t>
      </w:r>
      <w:bookmarkEnd w:id="0"/>
      <w:r w:rsidR="00311681" w:rsidRPr="00B36B0E">
        <w:rPr>
          <w:rFonts w:ascii="Arial" w:hAnsi="Arial" w:cs="Arial"/>
          <w:sz w:val="18"/>
          <w:szCs w:val="18"/>
        </w:rPr>
        <w:t xml:space="preserve"> </w:t>
      </w:r>
      <w:r w:rsidR="00CF3C88" w:rsidRPr="00B36B0E">
        <w:rPr>
          <w:rFonts w:ascii="Arial" w:hAnsi="Arial" w:cs="Arial"/>
          <w:sz w:val="18"/>
          <w:szCs w:val="18"/>
        </w:rPr>
        <w:t>do</w:t>
      </w:r>
      <w:r w:rsidR="00B35E17">
        <w:rPr>
          <w:rFonts w:ascii="Arial" w:hAnsi="Arial" w:cs="Arial"/>
          <w:sz w:val="18"/>
          <w:szCs w:val="18"/>
        </w:rPr>
        <w:t xml:space="preserve"> 90</w:t>
      </w:r>
      <w:r w:rsidR="00186F3B" w:rsidRPr="00B36B0E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74934ACD" w14:textId="77777777" w:rsidR="00B35E17" w:rsidRDefault="00B35E17" w:rsidP="00D20534">
      <w:pPr>
        <w:pStyle w:val="Odstavecseseznamem"/>
        <w:rPr>
          <w:rFonts w:ascii="Arial" w:hAnsi="Arial" w:cs="Arial"/>
          <w:sz w:val="18"/>
          <w:szCs w:val="18"/>
        </w:rPr>
      </w:pPr>
    </w:p>
    <w:p w14:paraId="3F7453D7" w14:textId="4A66D7E3" w:rsidR="00B35E17" w:rsidRPr="00D20534" w:rsidRDefault="00B35E17" w:rsidP="00D20534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</w:t>
      </w:r>
      <w:r w:rsidRPr="00B35E17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 xml:space="preserve">dodání koncových prvků svítidel: </w:t>
      </w:r>
      <w:r w:rsidRPr="00837DF3">
        <w:rPr>
          <w:rFonts w:ascii="Arial" w:hAnsi="Arial" w:cs="Arial"/>
          <w:b/>
          <w:sz w:val="18"/>
          <w:szCs w:val="18"/>
        </w:rPr>
        <w:t>do 150 kalendářních dní od zahájení doby plně</w:t>
      </w:r>
      <w:r>
        <w:rPr>
          <w:rFonts w:ascii="Arial" w:hAnsi="Arial" w:cs="Arial"/>
          <w:b/>
          <w:sz w:val="18"/>
          <w:szCs w:val="18"/>
        </w:rPr>
        <w:t>ní</w:t>
      </w:r>
    </w:p>
    <w:p w14:paraId="547AD150" w14:textId="77777777" w:rsidR="00B35E17" w:rsidRDefault="00B35E17" w:rsidP="00D20534">
      <w:pPr>
        <w:pStyle w:val="Odstavecseseznamem"/>
        <w:rPr>
          <w:rFonts w:ascii="Arial" w:hAnsi="Arial" w:cs="Arial"/>
          <w:sz w:val="18"/>
          <w:szCs w:val="18"/>
        </w:rPr>
      </w:pPr>
    </w:p>
    <w:p w14:paraId="66750571" w14:textId="20043986" w:rsidR="00B35E17" w:rsidRPr="00B35E17" w:rsidRDefault="00B35E17" w:rsidP="00D20534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se zavazuje provádět dílo ve dnech pondělí – sobota od 7:00 do 19:00 hodin. V této době budou na místě pracovníci zhotovitele, kteří budou dílo provádět. V případě kolize s ustanovením 8.11. této smlouvy, má přednost ustanovení 8.11. 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5B5BC503" w:rsidR="00184694" w:rsidRPr="00375846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</w:t>
      </w:r>
      <w:r w:rsidR="00AC39EF">
        <w:rPr>
          <w:rFonts w:ascii="Arial" w:hAnsi="Arial" w:cs="Arial"/>
          <w:sz w:val="18"/>
          <w:szCs w:val="18"/>
        </w:rPr>
        <w:t>sou pozemky parc. č. 2300/5; 2350/11; 2362/6; 2362/11; 2362/12; 2362/13 a 2362/14 v k.ú. Kyjov</w:t>
      </w:r>
      <w:r w:rsidR="006036DF" w:rsidRPr="00375846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6AA1E29C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</w:t>
      </w:r>
      <w:r w:rsidR="00D23B08" w:rsidRPr="00232D44">
        <w:rPr>
          <w:rFonts w:ascii="Arial" w:hAnsi="Arial" w:cs="Arial"/>
          <w:sz w:val="18"/>
          <w:szCs w:val="18"/>
        </w:rPr>
        <w:t xml:space="preserve">odst. </w:t>
      </w:r>
      <w:r w:rsidR="00D23B08" w:rsidRPr="00D20534">
        <w:rPr>
          <w:rFonts w:ascii="Arial" w:hAnsi="Arial" w:cs="Arial"/>
          <w:sz w:val="18"/>
          <w:szCs w:val="18"/>
        </w:rPr>
        <w:t>2.</w:t>
      </w:r>
      <w:r w:rsidR="0089604E" w:rsidRPr="00D20534">
        <w:rPr>
          <w:rFonts w:ascii="Arial" w:hAnsi="Arial" w:cs="Arial"/>
          <w:sz w:val="18"/>
          <w:szCs w:val="18"/>
        </w:rPr>
        <w:t>3</w:t>
      </w:r>
      <w:r w:rsidR="00D23B08" w:rsidRPr="00232D44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Faktura, která nebude obsahovat předepsané náležitosti, bude objednatelem vrácena k doplnění bez jejího </w:t>
      </w:r>
      <w:r w:rsidRPr="00375846">
        <w:rPr>
          <w:rFonts w:ascii="Arial" w:hAnsi="Arial" w:cs="Arial"/>
          <w:sz w:val="18"/>
          <w:szCs w:val="18"/>
        </w:rPr>
        <w:lastRenderedPageBreak/>
        <w:t>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3685ECF9" w:rsidR="003F428F" w:rsidRPr="00232D44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</w:t>
      </w:r>
      <w:r w:rsidR="00044AD7">
        <w:rPr>
          <w:rFonts w:ascii="Arial" w:hAnsi="Arial" w:cs="Arial"/>
          <w:sz w:val="18"/>
          <w:szCs w:val="18"/>
        </w:rPr>
        <w:t xml:space="preserve">zaslána elektronicky </w:t>
      </w:r>
      <w:r w:rsidR="00044AD7" w:rsidRPr="00232D44">
        <w:rPr>
          <w:rFonts w:ascii="Arial" w:hAnsi="Arial" w:cs="Arial"/>
          <w:sz w:val="18"/>
          <w:szCs w:val="18"/>
        </w:rPr>
        <w:t xml:space="preserve">na </w:t>
      </w:r>
      <w:r w:rsidR="00044AD7" w:rsidRPr="00D20534">
        <w:rPr>
          <w:rFonts w:ascii="Arial" w:hAnsi="Arial" w:cs="Arial"/>
          <w:sz w:val="18"/>
          <w:szCs w:val="18"/>
        </w:rPr>
        <w:t>e-mail:</w:t>
      </w:r>
      <w:r w:rsidR="0089604E">
        <w:rPr>
          <w:rFonts w:ascii="Arial" w:hAnsi="Arial" w:cs="Arial"/>
          <w:sz w:val="18"/>
          <w:szCs w:val="18"/>
        </w:rPr>
        <w:t xml:space="preserve"> faktury@mukyjov.cz, r.pekarek@mukyjov.cz</w:t>
      </w:r>
      <w:r w:rsidR="00044AD7">
        <w:rPr>
          <w:rFonts w:ascii="Arial" w:hAnsi="Arial" w:cs="Arial"/>
          <w:sz w:val="18"/>
          <w:szCs w:val="18"/>
        </w:rPr>
        <w:t xml:space="preserve">, případně </w:t>
      </w:r>
      <w:r w:rsidR="002113C4" w:rsidRPr="00375846">
        <w:rPr>
          <w:rFonts w:ascii="Arial" w:hAnsi="Arial" w:cs="Arial"/>
          <w:sz w:val="18"/>
          <w:szCs w:val="18"/>
        </w:rPr>
        <w:t>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</w:t>
      </w:r>
      <w:r w:rsidR="00044AD7">
        <w:rPr>
          <w:rFonts w:ascii="Arial" w:hAnsi="Arial" w:cs="Arial"/>
          <w:sz w:val="18"/>
          <w:szCs w:val="18"/>
        </w:rPr>
        <w:t xml:space="preserve"> jednom </w:t>
      </w:r>
      <w:r w:rsidR="002113C4" w:rsidRPr="00375846">
        <w:rPr>
          <w:rFonts w:ascii="Arial" w:hAnsi="Arial" w:cs="Arial"/>
          <w:sz w:val="18"/>
          <w:szCs w:val="18"/>
        </w:rPr>
        <w:t xml:space="preserve"> originál</w:t>
      </w:r>
      <w:r w:rsidR="00044AD7">
        <w:rPr>
          <w:rFonts w:ascii="Arial" w:hAnsi="Arial" w:cs="Arial"/>
          <w:sz w:val="18"/>
          <w:szCs w:val="18"/>
        </w:rPr>
        <w:t>u</w:t>
      </w:r>
      <w:r w:rsidR="002113C4" w:rsidRPr="00375846">
        <w:rPr>
          <w:rFonts w:ascii="Arial" w:hAnsi="Arial" w:cs="Arial"/>
          <w:sz w:val="18"/>
          <w:szCs w:val="18"/>
        </w:rPr>
        <w:t>, navýšené</w:t>
      </w:r>
      <w:r w:rsidR="00044AD7">
        <w:rPr>
          <w:rFonts w:ascii="Arial" w:hAnsi="Arial" w:cs="Arial"/>
          <w:sz w:val="18"/>
          <w:szCs w:val="18"/>
        </w:rPr>
        <w:t>m</w:t>
      </w:r>
      <w:r w:rsidR="002113C4" w:rsidRPr="00375846">
        <w:rPr>
          <w:rFonts w:ascii="Arial" w:hAnsi="Arial" w:cs="Arial"/>
          <w:sz w:val="18"/>
          <w:szCs w:val="18"/>
        </w:rPr>
        <w:t xml:space="preserve"> o počet, které požaduje zhotovitel vrátit potvrzené </w:t>
      </w:r>
      <w:r w:rsidR="002113C4" w:rsidRPr="00232D44">
        <w:rPr>
          <w:rFonts w:ascii="Arial" w:hAnsi="Arial" w:cs="Arial"/>
          <w:sz w:val="18"/>
          <w:szCs w:val="18"/>
        </w:rPr>
        <w:t>objednatelem</w:t>
      </w:r>
    </w:p>
    <w:p w14:paraId="727BAB5C" w14:textId="0ADE730D" w:rsidR="002113C4" w:rsidRPr="00D2053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D20534">
        <w:rPr>
          <w:rFonts w:ascii="Arial" w:hAnsi="Arial" w:cs="Arial"/>
          <w:sz w:val="18"/>
          <w:szCs w:val="18"/>
        </w:rPr>
        <w:t>sobu zajištění daně dle § 109a</w:t>
      </w:r>
      <w:r w:rsidRPr="00D20534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D20534">
        <w:rPr>
          <w:rFonts w:ascii="Arial" w:hAnsi="Arial" w:cs="Arial"/>
          <w:sz w:val="18"/>
          <w:szCs w:val="18"/>
        </w:rPr>
        <w:t>o DPH</w:t>
      </w:r>
      <w:r w:rsidRPr="00D20534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D20534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D20534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projektovou dokumentaci</w:t>
      </w:r>
      <w:r w:rsidR="003F48C8" w:rsidRPr="00D20534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D20534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povolení stavby, </w:t>
      </w:r>
      <w:r w:rsidR="009A3856" w:rsidRPr="00D20534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E12004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E26DB8" w:rsidRPr="00D20534">
        <w:rPr>
          <w:rFonts w:ascii="Arial" w:hAnsi="Arial" w:cs="Arial"/>
          <w:sz w:val="18"/>
          <w:szCs w:val="18"/>
        </w:rPr>
        <w:t>jednou týdně</w:t>
      </w:r>
      <w:r w:rsidRPr="00232D44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375846">
        <w:rPr>
          <w:rFonts w:ascii="Arial" w:hAnsi="Arial" w:cs="Arial"/>
          <w:sz w:val="18"/>
          <w:szCs w:val="18"/>
        </w:rPr>
        <w:t>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Objednatel je oprávněn nařídit přerušení prací i bez udání důvodu a zhotovitel je povinen toto přerušení akceptovat. Přerušení prací může objednatel nařídit na maximální dobu 14 dnů. Termín předání díla se </w:t>
      </w:r>
      <w:r w:rsidRPr="00375846">
        <w:rPr>
          <w:rFonts w:ascii="Arial" w:hAnsi="Arial" w:cs="Arial"/>
          <w:sz w:val="18"/>
          <w:szCs w:val="18"/>
        </w:rPr>
        <w:lastRenderedPageBreak/>
        <w:t>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D2053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D20534">
        <w:rPr>
          <w:rFonts w:ascii="Arial" w:hAnsi="Arial" w:cs="Arial"/>
          <w:sz w:val="18"/>
          <w:szCs w:val="18"/>
        </w:rPr>
        <w:t xml:space="preserve">následnému </w:t>
      </w:r>
      <w:r w:rsidRPr="00D20534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D2053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D20534">
        <w:rPr>
          <w:rFonts w:ascii="Arial" w:hAnsi="Arial" w:cs="Arial"/>
          <w:sz w:val="18"/>
          <w:szCs w:val="18"/>
        </w:rPr>
        <w:t xml:space="preserve">ve </w:t>
      </w:r>
      <w:r w:rsidR="00E90A11" w:rsidRPr="00D20534">
        <w:rPr>
          <w:rFonts w:ascii="Arial" w:hAnsi="Arial" w:cs="Arial"/>
          <w:sz w:val="18"/>
          <w:szCs w:val="18"/>
        </w:rPr>
        <w:t xml:space="preserve">3 </w:t>
      </w:r>
      <w:r w:rsidR="00336435" w:rsidRPr="00D20534">
        <w:rPr>
          <w:rFonts w:ascii="Arial" w:hAnsi="Arial" w:cs="Arial"/>
          <w:sz w:val="18"/>
          <w:szCs w:val="18"/>
        </w:rPr>
        <w:t>vyhotoveních v tištěné</w:t>
      </w:r>
      <w:r w:rsidR="007B0454" w:rsidRPr="00D20534">
        <w:rPr>
          <w:rFonts w:ascii="Arial" w:hAnsi="Arial" w:cs="Arial"/>
          <w:sz w:val="18"/>
          <w:szCs w:val="18"/>
        </w:rPr>
        <w:t xml:space="preserve"> a </w:t>
      </w:r>
      <w:r w:rsidR="00336435" w:rsidRPr="00D20534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D20534">
        <w:rPr>
          <w:rFonts w:ascii="Arial" w:hAnsi="Arial" w:cs="Arial"/>
          <w:sz w:val="18"/>
          <w:szCs w:val="18"/>
        </w:rPr>
        <w:t xml:space="preserve"> a .pdf</w:t>
      </w:r>
      <w:r w:rsidR="00336435" w:rsidRPr="00D20534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D20534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D20534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D20534">
        <w:rPr>
          <w:rFonts w:ascii="Arial" w:hAnsi="Arial" w:cs="Arial"/>
          <w:sz w:val="18"/>
          <w:szCs w:val="18"/>
        </w:rPr>
        <w:t xml:space="preserve"> flash disku</w:t>
      </w:r>
      <w:r w:rsidR="00A710DC" w:rsidRPr="00D20534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D20534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D20534">
        <w:rPr>
          <w:rFonts w:ascii="Arial" w:hAnsi="Arial" w:cs="Arial"/>
          <w:sz w:val="18"/>
          <w:szCs w:val="18"/>
        </w:rPr>
        <w:t xml:space="preserve">o odpadech </w:t>
      </w:r>
      <w:r w:rsidRPr="00D20534">
        <w:rPr>
          <w:rFonts w:ascii="Arial" w:hAnsi="Arial" w:cs="Arial"/>
          <w:sz w:val="18"/>
          <w:szCs w:val="18"/>
        </w:rPr>
        <w:t>a jeho prováděcích předpisů</w:t>
      </w:r>
      <w:r w:rsidR="00E76E36" w:rsidRPr="00D20534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D20534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>stavební deník (deníky)</w:t>
      </w:r>
      <w:r w:rsidR="00496511" w:rsidRPr="00D20534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D20534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D20534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0534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D20534">
        <w:rPr>
          <w:rFonts w:ascii="Arial" w:hAnsi="Arial" w:cs="Arial"/>
          <w:sz w:val="18"/>
          <w:szCs w:val="18"/>
        </w:rPr>
        <w:t>5</w:t>
      </w:r>
      <w:r w:rsidRPr="00D20534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 xml:space="preserve">, popř. má takové vlastnosti, které mít nesmí nebo má takové vlastnosti, které </w:t>
      </w:r>
      <w:r w:rsidR="00BB0FCC" w:rsidRPr="00375846">
        <w:rPr>
          <w:rFonts w:ascii="Arial" w:hAnsi="Arial" w:cs="Arial"/>
          <w:sz w:val="18"/>
          <w:szCs w:val="18"/>
        </w:rPr>
        <w:lastRenderedPageBreak/>
        <w:t>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0CC643DC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776D2" w:rsidRPr="00D20534">
        <w:rPr>
          <w:rFonts w:ascii="Arial" w:hAnsi="Arial" w:cs="Arial"/>
          <w:sz w:val="18"/>
          <w:szCs w:val="18"/>
        </w:rPr>
        <w:t>10.000,-Kč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26D20DBF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ve výši</w:t>
      </w:r>
      <w:r w:rsidR="000776D2">
        <w:rPr>
          <w:rFonts w:ascii="Arial" w:hAnsi="Arial" w:cs="Arial"/>
          <w:sz w:val="18"/>
          <w:szCs w:val="18"/>
        </w:rPr>
        <w:t xml:space="preserve"> 50.000,-Kč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5DF5E28A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0776D2">
        <w:rPr>
          <w:rFonts w:ascii="Arial" w:hAnsi="Arial" w:cs="Arial"/>
          <w:sz w:val="18"/>
          <w:szCs w:val="18"/>
        </w:rPr>
        <w:t xml:space="preserve"> 5.000,-Kč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73DAAC8B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</w:t>
      </w:r>
      <w:r w:rsidRPr="000776D2">
        <w:rPr>
          <w:rFonts w:ascii="Arial" w:hAnsi="Arial" w:cs="Arial"/>
          <w:sz w:val="18"/>
          <w:szCs w:val="18"/>
        </w:rPr>
        <w:t>výši</w:t>
      </w:r>
      <w:r w:rsidR="000776D2" w:rsidRPr="00D20534">
        <w:rPr>
          <w:rFonts w:ascii="Arial" w:hAnsi="Arial" w:cs="Arial"/>
          <w:sz w:val="18"/>
          <w:szCs w:val="18"/>
        </w:rPr>
        <w:t xml:space="preserve"> 5.000,-Kč </w:t>
      </w:r>
      <w:r w:rsidRPr="000776D2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lastRenderedPageBreak/>
        <w:t>vady.</w:t>
      </w:r>
    </w:p>
    <w:p w14:paraId="77B7544B" w14:textId="3806CFCE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termínem nastoupení k odstranění havárie v záruční době ve výši</w:t>
      </w:r>
      <w:r w:rsidR="000776D2">
        <w:rPr>
          <w:rFonts w:ascii="Arial" w:hAnsi="Arial" w:cs="Arial"/>
          <w:sz w:val="18"/>
          <w:szCs w:val="18"/>
        </w:rPr>
        <w:t xml:space="preserve"> 5.000,-Kč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D72B2C8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</w:t>
      </w:r>
      <w:r w:rsidR="000776D2">
        <w:rPr>
          <w:rFonts w:ascii="Arial" w:hAnsi="Arial" w:cs="Arial"/>
          <w:sz w:val="18"/>
          <w:szCs w:val="18"/>
        </w:rPr>
        <w:t xml:space="preserve"> 5.000,-Kč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6441A5B4" w:rsidR="00C03D99" w:rsidRPr="000776D2" w:rsidRDefault="00C03D9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0776D2" w:rsidRPr="00D20534">
        <w:rPr>
          <w:rFonts w:ascii="Arial" w:hAnsi="Arial" w:cs="Arial"/>
          <w:sz w:val="18"/>
          <w:szCs w:val="18"/>
        </w:rPr>
        <w:t>10.000,-Kč</w:t>
      </w:r>
    </w:p>
    <w:p w14:paraId="3FE526C1" w14:textId="2F346F53" w:rsidR="00A710DC" w:rsidRPr="0037584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375846">
        <w:rPr>
          <w:rFonts w:ascii="Arial" w:hAnsi="Arial" w:cs="Arial"/>
          <w:sz w:val="18"/>
          <w:szCs w:val="18"/>
        </w:rPr>
        <w:t xml:space="preserve">případně jeho zástupce, </w:t>
      </w:r>
      <w:r w:rsidRPr="00375846">
        <w:rPr>
          <w:rFonts w:ascii="Arial" w:hAnsi="Arial" w:cs="Arial"/>
          <w:sz w:val="18"/>
          <w:szCs w:val="18"/>
        </w:rPr>
        <w:t>a to v době stanovené touto smlouvou. Za každý takový případ porušení smlouvy zaplatí zhotovitel objednateli smluvní pokutu ve výši</w:t>
      </w:r>
      <w:r w:rsidR="000776D2">
        <w:rPr>
          <w:rFonts w:ascii="Arial" w:hAnsi="Arial" w:cs="Arial"/>
          <w:sz w:val="18"/>
          <w:szCs w:val="18"/>
        </w:rPr>
        <w:t xml:space="preserve"> 10.000,-Kč</w:t>
      </w:r>
      <w:r w:rsidRPr="00375846">
        <w:rPr>
          <w:rFonts w:ascii="Arial" w:hAnsi="Arial" w:cs="Arial"/>
          <w:sz w:val="18"/>
          <w:szCs w:val="18"/>
        </w:rPr>
        <w:t xml:space="preserve">  </w:t>
      </w:r>
    </w:p>
    <w:p w14:paraId="550C9DD8" w14:textId="4B1D1088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včas nevyklizené místo plnění ve výši</w:t>
      </w:r>
      <w:r w:rsidR="000776D2">
        <w:rPr>
          <w:rFonts w:ascii="Arial" w:hAnsi="Arial" w:cs="Arial"/>
          <w:sz w:val="18"/>
          <w:szCs w:val="18"/>
        </w:rPr>
        <w:t xml:space="preserve"> 5.000,-Kč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4557881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776D2">
        <w:rPr>
          <w:rFonts w:ascii="Arial" w:hAnsi="Arial" w:cs="Arial"/>
          <w:sz w:val="18"/>
          <w:szCs w:val="18"/>
        </w:rPr>
        <w:t xml:space="preserve">5.000,-Kč </w:t>
      </w:r>
      <w:r w:rsidR="00630A16" w:rsidRPr="00375846">
        <w:rPr>
          <w:rFonts w:ascii="Arial" w:hAnsi="Arial" w:cs="Arial"/>
          <w:sz w:val="18"/>
          <w:szCs w:val="18"/>
        </w:rPr>
        <w:t>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16EEDC36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ve výši</w:t>
      </w:r>
      <w:r w:rsidR="000776D2">
        <w:rPr>
          <w:rFonts w:ascii="Arial" w:hAnsi="Arial" w:cs="Arial"/>
          <w:sz w:val="18"/>
          <w:szCs w:val="18"/>
        </w:rPr>
        <w:t xml:space="preserve"> 5.000,-Kč</w:t>
      </w:r>
      <w:r w:rsidRPr="00375846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6482D330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0776D2" w:rsidRPr="00D20534">
        <w:rPr>
          <w:rFonts w:ascii="Arial" w:hAnsi="Arial" w:cs="Arial"/>
          <w:sz w:val="18"/>
          <w:szCs w:val="18"/>
        </w:rPr>
        <w:t>5.000,-Kč</w:t>
      </w:r>
      <w:r w:rsidR="00C17311" w:rsidRPr="0037584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09ECD4E6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0776D2" w:rsidRPr="00D20534">
        <w:rPr>
          <w:rFonts w:ascii="Arial" w:hAnsi="Arial" w:cs="Arial"/>
          <w:sz w:val="18"/>
          <w:szCs w:val="18"/>
        </w:rPr>
        <w:t>10.000,-Kč</w:t>
      </w:r>
      <w:r w:rsidRPr="0037584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00F11825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 případě, že zhotovitel realizuje předmět smlouvy v rozporu s PD nebo nedodržuje technologický postup provádění předmětu smlouvy stanovený v PD, zaplatí objednateli smluvní pokutu ve výši</w:t>
      </w:r>
      <w:r w:rsidR="000776D2">
        <w:rPr>
          <w:rFonts w:ascii="Arial" w:hAnsi="Arial" w:cs="Arial"/>
          <w:sz w:val="18"/>
          <w:szCs w:val="18"/>
        </w:rPr>
        <w:t xml:space="preserve"> 50.000,-Kč. </w:t>
      </w:r>
      <w:r w:rsidRPr="00375846">
        <w:rPr>
          <w:rFonts w:ascii="Arial" w:hAnsi="Arial" w:cs="Arial"/>
          <w:sz w:val="18"/>
          <w:szCs w:val="18"/>
        </w:rPr>
        <w:t>Toto ustanovení se netýká postupu při změně předmětu smlouvy dle této smlouvy.</w:t>
      </w:r>
    </w:p>
    <w:p w14:paraId="6DAE6F3B" w14:textId="3C37E383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0776D2" w:rsidRPr="00D20534">
        <w:rPr>
          <w:rFonts w:ascii="Arial" w:hAnsi="Arial" w:cs="Arial"/>
          <w:sz w:val="18"/>
          <w:szCs w:val="18"/>
        </w:rPr>
        <w:t>100.000,-Kč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2E28D42B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ve výši</w:t>
      </w:r>
      <w:r w:rsidR="000776D2">
        <w:rPr>
          <w:rFonts w:ascii="Arial" w:hAnsi="Arial" w:cs="Arial"/>
          <w:sz w:val="18"/>
          <w:szCs w:val="18"/>
        </w:rPr>
        <w:t xml:space="preserve"> 5.000,-Kč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4676512B" w14:textId="7ED2DB32" w:rsidR="00375846" w:rsidRPr="007B03C3" w:rsidRDefault="009C54F7" w:rsidP="007B03C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lastRenderedPageBreak/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2EC57AEE" w14:textId="4FF4FDBF" w:rsidR="00BB4E41" w:rsidRPr="006778F7" w:rsidRDefault="004B7176" w:rsidP="006778F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6909D373" w14:textId="7B4EAE88" w:rsidR="00BB4E41" w:rsidRPr="006778F7" w:rsidRDefault="006778F7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778F7">
        <w:rPr>
          <w:rFonts w:ascii="Arial" w:hAnsi="Arial" w:cs="Arial"/>
          <w:sz w:val="18"/>
          <w:szCs w:val="18"/>
        </w:rPr>
        <w:t>Nebo se s</w:t>
      </w:r>
      <w:r w:rsidR="00BB4E41" w:rsidRPr="006778F7">
        <w:rPr>
          <w:rFonts w:ascii="Arial" w:hAnsi="Arial" w:cs="Arial"/>
          <w:sz w:val="18"/>
          <w:szCs w:val="18"/>
        </w:rPr>
        <w:t xml:space="preserve">mluvní strany </w:t>
      </w:r>
      <w:r w:rsidRPr="006778F7">
        <w:rPr>
          <w:rFonts w:ascii="Arial" w:hAnsi="Arial" w:cs="Arial"/>
          <w:sz w:val="18"/>
          <w:szCs w:val="18"/>
        </w:rPr>
        <w:t>můžou dohodnout</w:t>
      </w:r>
      <w:r w:rsidR="00BB4E41" w:rsidRPr="006778F7">
        <w:rPr>
          <w:rFonts w:ascii="Arial" w:hAnsi="Arial" w:cs="Arial"/>
          <w:sz w:val="18"/>
          <w:szCs w:val="18"/>
        </w:rPr>
        <w:t>, že smlouvu uzavřou prostřednictvím prostředků komunikace na dálku. Smlouva bude uzavřena připojením zaručených/kvalifikovaných elektronických podpisů obou smluvních stran.</w:t>
      </w:r>
    </w:p>
    <w:p w14:paraId="5A6294F8" w14:textId="77777777" w:rsidR="00654B96" w:rsidRPr="00780477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2B98CCC" w14:textId="77777777" w:rsidR="005328F9" w:rsidRPr="00BB4E41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232D44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2D44">
        <w:rPr>
          <w:rFonts w:ascii="Arial" w:hAnsi="Arial" w:cs="Arial"/>
          <w:sz w:val="18"/>
          <w:szCs w:val="18"/>
        </w:rPr>
        <w:t xml:space="preserve">O </w:t>
      </w:r>
      <w:r w:rsidR="00570C12" w:rsidRPr="00232D44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232D44">
        <w:rPr>
          <w:rFonts w:ascii="Arial" w:hAnsi="Arial" w:cs="Arial"/>
          <w:sz w:val="18"/>
          <w:szCs w:val="18"/>
        </w:rPr>
        <w:t>R</w:t>
      </w:r>
      <w:r w:rsidRPr="00232D44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D20534">
        <w:rPr>
          <w:rFonts w:ascii="Arial" w:hAnsi="Arial" w:cs="Arial"/>
          <w:sz w:val="18"/>
          <w:szCs w:val="18"/>
        </w:rPr>
        <w:t>………..</w:t>
      </w:r>
      <w:r w:rsidRPr="00D20534">
        <w:rPr>
          <w:rFonts w:ascii="Arial" w:hAnsi="Arial" w:cs="Arial"/>
          <w:sz w:val="18"/>
          <w:szCs w:val="18"/>
        </w:rPr>
        <w:t>.</w:t>
      </w:r>
      <w:r w:rsidRPr="00232D44">
        <w:rPr>
          <w:rFonts w:ascii="Arial" w:hAnsi="Arial" w:cs="Arial"/>
          <w:sz w:val="18"/>
          <w:szCs w:val="18"/>
        </w:rPr>
        <w:t xml:space="preserve"> </w:t>
      </w:r>
      <w:r w:rsidR="00570C12" w:rsidRPr="00232D44">
        <w:rPr>
          <w:rFonts w:ascii="Arial" w:hAnsi="Arial" w:cs="Arial"/>
          <w:sz w:val="18"/>
          <w:szCs w:val="18"/>
        </w:rPr>
        <w:t>schůzi</w:t>
      </w:r>
      <w:r w:rsidRPr="00232D44">
        <w:rPr>
          <w:rFonts w:ascii="Arial" w:hAnsi="Arial" w:cs="Arial"/>
          <w:sz w:val="18"/>
          <w:szCs w:val="18"/>
        </w:rPr>
        <w:t xml:space="preserve"> dne </w:t>
      </w:r>
      <w:r w:rsidR="005F0F63" w:rsidRPr="00D20534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D20534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232D44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D20534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232D44">
        <w:rPr>
          <w:rFonts w:ascii="Arial" w:hAnsi="Arial" w:cs="Arial"/>
          <w:b/>
          <w:sz w:val="18"/>
          <w:szCs w:val="18"/>
        </w:rPr>
        <w:t>Příloha č. 1</w:t>
      </w:r>
      <w:r w:rsidRPr="00232D44">
        <w:rPr>
          <w:rFonts w:ascii="Arial" w:hAnsi="Arial" w:cs="Arial"/>
          <w:sz w:val="18"/>
          <w:szCs w:val="18"/>
        </w:rPr>
        <w:t xml:space="preserve"> </w:t>
      </w:r>
      <w:r w:rsidRPr="00232D44">
        <w:rPr>
          <w:rFonts w:ascii="Arial" w:hAnsi="Arial" w:cs="Arial"/>
          <w:sz w:val="18"/>
          <w:szCs w:val="18"/>
        </w:rPr>
        <w:tab/>
      </w:r>
      <w:r w:rsidRPr="00D20534">
        <w:rPr>
          <w:rFonts w:ascii="Arial" w:hAnsi="Arial" w:cs="Arial"/>
          <w:b/>
          <w:sz w:val="18"/>
          <w:szCs w:val="18"/>
        </w:rPr>
        <w:t>Položkový rozpočet</w:t>
      </w:r>
      <w:r w:rsidRPr="00D20534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D20534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252" w14:textId="77777777" w:rsidR="00567BD4" w:rsidRDefault="00567BD4">
      <w:r>
        <w:separator/>
      </w:r>
    </w:p>
  </w:endnote>
  <w:endnote w:type="continuationSeparator" w:id="0">
    <w:p w14:paraId="699C0DDB" w14:textId="77777777" w:rsidR="00567BD4" w:rsidRDefault="005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D7BD" w14:textId="77777777" w:rsidR="00567BD4" w:rsidRDefault="00567BD4">
    <w:pPr>
      <w:pStyle w:val="Zpat"/>
      <w:jc w:val="center"/>
      <w:rPr>
        <w:rFonts w:ascii="Arial" w:hAnsi="Arial" w:cs="Arial"/>
        <w:sz w:val="18"/>
      </w:rPr>
    </w:pPr>
  </w:p>
  <w:p w14:paraId="6CD3476C" w14:textId="1A0F7D49" w:rsidR="00567BD4" w:rsidRPr="006306C4" w:rsidRDefault="00567BD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7C67E9">
      <w:rPr>
        <w:rFonts w:ascii="Arial" w:hAnsi="Arial" w:cs="Arial"/>
        <w:b/>
        <w:bCs/>
        <w:sz w:val="18"/>
      </w:rPr>
      <w:t>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7C67E9">
      <w:rPr>
        <w:rFonts w:ascii="Arial" w:hAnsi="Arial" w:cs="Arial"/>
        <w:b/>
        <w:bCs/>
        <w:sz w:val="18"/>
      </w:rPr>
      <w:t>13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567BD4" w:rsidRPr="00546F59" w:rsidRDefault="00567BD4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1B7" w14:textId="4EE10479" w:rsidR="00567BD4" w:rsidRDefault="00567BD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567BD4" w:rsidRDefault="00567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75CB" w14:textId="77777777" w:rsidR="00567BD4" w:rsidRDefault="00567BD4">
      <w:r>
        <w:separator/>
      </w:r>
    </w:p>
  </w:footnote>
  <w:footnote w:type="continuationSeparator" w:id="0">
    <w:p w14:paraId="08DF2980" w14:textId="77777777" w:rsidR="00567BD4" w:rsidRDefault="005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453" w14:textId="77777777" w:rsidR="00567BD4" w:rsidRDefault="00567BD4" w:rsidP="00EE30C2">
    <w:pPr>
      <w:pStyle w:val="Zhlav"/>
      <w:rPr>
        <w:sz w:val="16"/>
        <w:szCs w:val="16"/>
      </w:rPr>
    </w:pPr>
  </w:p>
  <w:p w14:paraId="0FDEBE7C" w14:textId="77777777" w:rsidR="00567BD4" w:rsidRDefault="00567BD4" w:rsidP="00EE30C2">
    <w:pPr>
      <w:pStyle w:val="Zhlav"/>
      <w:rPr>
        <w:sz w:val="16"/>
        <w:szCs w:val="16"/>
      </w:rPr>
    </w:pPr>
  </w:p>
  <w:p w14:paraId="6F3E55B7" w14:textId="77777777" w:rsidR="00567BD4" w:rsidRPr="00184694" w:rsidRDefault="00567BD4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C4" w14:textId="77777777" w:rsidR="00567BD4" w:rsidRDefault="00567BD4" w:rsidP="007B1B1B">
    <w:pPr>
      <w:pStyle w:val="Zhlav"/>
      <w:rPr>
        <w:rFonts w:ascii="Arial Narrow" w:hAnsi="Arial Narrow"/>
        <w:sz w:val="20"/>
      </w:rPr>
    </w:pPr>
  </w:p>
  <w:p w14:paraId="123BCF1C" w14:textId="77777777" w:rsidR="00567BD4" w:rsidRDefault="00567BD4" w:rsidP="007B1B1B">
    <w:pPr>
      <w:pStyle w:val="Zhlav"/>
      <w:rPr>
        <w:rFonts w:ascii="Arial Narrow" w:hAnsi="Arial Narrow"/>
        <w:sz w:val="20"/>
      </w:rPr>
    </w:pPr>
  </w:p>
  <w:p w14:paraId="1B851B0C" w14:textId="77777777" w:rsidR="00567BD4" w:rsidRPr="00BC77DB" w:rsidRDefault="00567BD4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3231">
    <w:abstractNumId w:val="8"/>
  </w:num>
  <w:num w:numId="2" w16cid:durableId="12658656">
    <w:abstractNumId w:val="0"/>
  </w:num>
  <w:num w:numId="3" w16cid:durableId="473259482">
    <w:abstractNumId w:val="15"/>
  </w:num>
  <w:num w:numId="4" w16cid:durableId="1694768792">
    <w:abstractNumId w:val="9"/>
  </w:num>
  <w:num w:numId="5" w16cid:durableId="117994036">
    <w:abstractNumId w:val="16"/>
  </w:num>
  <w:num w:numId="6" w16cid:durableId="933393467">
    <w:abstractNumId w:val="6"/>
  </w:num>
  <w:num w:numId="7" w16cid:durableId="1540976158">
    <w:abstractNumId w:val="14"/>
  </w:num>
  <w:num w:numId="8" w16cid:durableId="1164006335">
    <w:abstractNumId w:val="1"/>
  </w:num>
  <w:num w:numId="9" w16cid:durableId="1936552417">
    <w:abstractNumId w:val="5"/>
  </w:num>
  <w:num w:numId="10" w16cid:durableId="1252662890">
    <w:abstractNumId w:val="17"/>
  </w:num>
  <w:num w:numId="11" w16cid:durableId="786583100">
    <w:abstractNumId w:val="20"/>
  </w:num>
  <w:num w:numId="12" w16cid:durableId="2038310333">
    <w:abstractNumId w:val="21"/>
  </w:num>
  <w:num w:numId="13" w16cid:durableId="2037995693">
    <w:abstractNumId w:val="19"/>
  </w:num>
  <w:num w:numId="14" w16cid:durableId="406920058">
    <w:abstractNumId w:val="27"/>
  </w:num>
  <w:num w:numId="15" w16cid:durableId="8575477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8799176">
    <w:abstractNumId w:val="25"/>
  </w:num>
  <w:num w:numId="17" w16cid:durableId="325475965">
    <w:abstractNumId w:val="24"/>
  </w:num>
  <w:num w:numId="18" w16cid:durableId="266160756">
    <w:abstractNumId w:val="32"/>
  </w:num>
  <w:num w:numId="19" w16cid:durableId="1667006221">
    <w:abstractNumId w:val="18"/>
  </w:num>
  <w:num w:numId="20" w16cid:durableId="1912881475">
    <w:abstractNumId w:val="10"/>
  </w:num>
  <w:num w:numId="21" w16cid:durableId="477185020">
    <w:abstractNumId w:val="11"/>
  </w:num>
  <w:num w:numId="22" w16cid:durableId="1804419141">
    <w:abstractNumId w:val="22"/>
  </w:num>
  <w:num w:numId="23" w16cid:durableId="852232166">
    <w:abstractNumId w:val="30"/>
  </w:num>
  <w:num w:numId="24" w16cid:durableId="1982537687">
    <w:abstractNumId w:val="29"/>
  </w:num>
  <w:num w:numId="25" w16cid:durableId="387075609">
    <w:abstractNumId w:val="2"/>
  </w:num>
  <w:num w:numId="26" w16cid:durableId="515312042">
    <w:abstractNumId w:val="23"/>
  </w:num>
  <w:num w:numId="27" w16cid:durableId="2144082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3271529">
    <w:abstractNumId w:val="3"/>
  </w:num>
  <w:num w:numId="29" w16cid:durableId="1770158692">
    <w:abstractNumId w:val="13"/>
  </w:num>
  <w:num w:numId="30" w16cid:durableId="1197933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663389">
    <w:abstractNumId w:val="28"/>
  </w:num>
  <w:num w:numId="32" w16cid:durableId="1661158190">
    <w:abstractNumId w:val="26"/>
  </w:num>
  <w:num w:numId="33" w16cid:durableId="1738819751">
    <w:abstractNumId w:val="12"/>
  </w:num>
  <w:num w:numId="34" w16cid:durableId="472646070">
    <w:abstractNumId w:val="4"/>
  </w:num>
  <w:num w:numId="35" w16cid:durableId="2079591592">
    <w:abstractNumId w:val="31"/>
  </w:num>
  <w:num w:numId="36" w16cid:durableId="159917569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776D2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46D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76B7F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2D44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67BD4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3283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778F7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3C3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7E9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096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604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C39EF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059E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3FFF"/>
    <w:rsid w:val="00B34D77"/>
    <w:rsid w:val="00B35E1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16E6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0534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4A23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0776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26DB8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571C"/>
    <w:rsid w:val="00E96FD1"/>
    <w:rsid w:val="00EA0ED5"/>
    <w:rsid w:val="00EA2BE8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13A7D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9BD11-7AB9-483F-8E24-131A0D4F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5889</Words>
  <Characters>35084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Julínková</cp:lastModifiedBy>
  <cp:revision>9</cp:revision>
  <cp:lastPrinted>2024-04-04T07:30:00Z</cp:lastPrinted>
  <dcterms:created xsi:type="dcterms:W3CDTF">2026-02-09T09:46:00Z</dcterms:created>
  <dcterms:modified xsi:type="dcterms:W3CDTF">2026-03-10T12:01:00Z</dcterms:modified>
</cp:coreProperties>
</file>