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3D4ED3" w:rsidRPr="00AB7E43" w:rsidRDefault="00E22409" w:rsidP="00770EE1">
      <w:pPr>
        <w:jc w:val="center"/>
        <w:rPr>
          <w:rFonts w:ascii="Arial Narrow" w:hAnsi="Arial Narrow"/>
          <w:b/>
          <w:sz w:val="28"/>
          <w:szCs w:val="28"/>
        </w:rPr>
      </w:pPr>
      <w:r w:rsidRPr="00E22409">
        <w:rPr>
          <w:rFonts w:ascii="Arial Narrow" w:hAnsi="Arial Narrow"/>
          <w:b/>
          <w:sz w:val="28"/>
        </w:rPr>
        <w:t>HŘIŠTĚ OČOV – OPRAVY POVRCHU A OPLOCENÍ</w:t>
      </w:r>
      <w:r w:rsidR="000D7D0D">
        <w:rPr>
          <w:rFonts w:ascii="Arial Narrow" w:hAnsi="Arial Narrow"/>
          <w:b/>
        </w:rPr>
        <w:t xml:space="preserve"> </w:t>
      </w:r>
      <w:r w:rsidR="000D7D0D">
        <w:rPr>
          <w:rFonts w:ascii="Arial Narrow" w:hAnsi="Arial Narrow"/>
          <w:b/>
          <w:bCs/>
          <w:kern w:val="32"/>
        </w:rPr>
        <w:t xml:space="preserve"> </w:t>
      </w:r>
    </w:p>
    <w:p w:rsidR="00AB7E43" w:rsidRPr="00770EE1" w:rsidRDefault="00AB7E43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770EE1">
        <w:rPr>
          <w:rFonts w:ascii="Arial Narrow" w:hAnsi="Arial Narrow" w:cs="Arial"/>
          <w:b/>
          <w:sz w:val="22"/>
          <w:szCs w:val="22"/>
        </w:rPr>
        <w:t>„</w:t>
      </w:r>
      <w:r w:rsidRPr="00770EE1">
        <w:rPr>
          <w:rFonts w:ascii="Arial Narrow" w:hAnsi="Arial Narrow" w:cs="Arial"/>
          <w:b/>
          <w:i/>
          <w:sz w:val="22"/>
          <w:szCs w:val="22"/>
        </w:rPr>
        <w:t>(</w:t>
      </w:r>
      <w:r w:rsidRPr="00770EE1">
        <w:rPr>
          <w:rFonts w:ascii="Arial Narrow" w:hAnsi="Arial Narrow" w:cs="Arial"/>
          <w:b/>
          <w:i/>
          <w:sz w:val="22"/>
          <w:szCs w:val="22"/>
          <w:highlight w:val="yellow"/>
        </w:rPr>
        <w:t>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</w:t>
      </w:r>
      <w:bookmarkStart w:id="0" w:name="_GoBack"/>
      <w:bookmarkEnd w:id="0"/>
      <w:r w:rsidRPr="00770EE1">
        <w:rPr>
          <w:rFonts w:ascii="Arial Narrow" w:hAnsi="Arial Narrow" w:cs="Arial"/>
          <w:b/>
          <w:sz w:val="22"/>
        </w:rPr>
        <w:t>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>(SD č. xx, strana č. xx, datum xx.xx.xxxx)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>(KD č. xx, ze dne xx.xx.xxxx)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>Popis způsobu nacenění prací – položky dle rozpočtu v 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71.25pt" o:ole="">
            <v:imagedata r:id="rId8" o:title=""/>
          </v:shape>
          <o:OLEObject Type="Embed" ProgID="Excel.Sheet.12" ShapeID="_x0000_i1025" DrawAspect="Content" ObjectID="_1602656653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Default="00770EE1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r w:rsidRPr="00770EE1">
        <w:rPr>
          <w:rFonts w:ascii="Arial Narrow" w:hAnsi="Arial Narrow" w:cs="Arial"/>
          <w:i/>
          <w:sz w:val="20"/>
          <w:szCs w:val="20"/>
        </w:rPr>
        <w:t>apd)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>(popis úkonů vyvolaných změnou) např: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 xml:space="preserve">(autorského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(AD) (ne)doporučuje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r w:rsidR="007C14D1" w:rsidRPr="00770EE1">
        <w:rPr>
          <w:rFonts w:ascii="Arial Narrow" w:hAnsi="Arial Narrow" w:cs="Arial"/>
          <w:sz w:val="20"/>
          <w:szCs w:val="20"/>
        </w:rPr>
        <w:t>xxx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901" w:rsidRDefault="00916901">
      <w:r>
        <w:separator/>
      </w:r>
    </w:p>
  </w:endnote>
  <w:endnote w:type="continuationSeparator" w:id="0">
    <w:p w:rsidR="00916901" w:rsidRDefault="00916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3 originálních výtiscích. Jeden výtisk založen u zhotovitele, dva výtisky u </w:t>
    </w:r>
    <w:r w:rsidR="0062472A" w:rsidRPr="00770EE1">
      <w:rPr>
        <w:rFonts w:ascii="Arial Narrow" w:hAnsi="Arial Narrow" w:cs="Arial"/>
        <w:sz w:val="20"/>
        <w:szCs w:val="20"/>
      </w:rPr>
      <w:t>objednatele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62472A" w:rsidRPr="00770EE1">
      <w:rPr>
        <w:rFonts w:ascii="Arial Narrow" w:hAnsi="Arial Narrow" w:cs="Arial"/>
        <w:sz w:val="20"/>
        <w:szCs w:val="20"/>
      </w:rPr>
      <w:t xml:space="preserve"> a odboru investic KÚZK</w:t>
    </w:r>
    <w:r w:rsidRPr="00770EE1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Str: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E22409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E22409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901" w:rsidRDefault="00916901">
      <w:r>
        <w:separator/>
      </w:r>
    </w:p>
  </w:footnote>
  <w:footnote w:type="continuationSeparator" w:id="0">
    <w:p w:rsidR="00916901" w:rsidRDefault="00916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D7D0D"/>
    <w:rsid w:val="000E21CF"/>
    <w:rsid w:val="000E2F15"/>
    <w:rsid w:val="000E3780"/>
    <w:rsid w:val="000F1C75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53D5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A650B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16901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57B42"/>
    <w:rsid w:val="00A614CE"/>
    <w:rsid w:val="00A6261F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2409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97AA3F2-EC92-40A1-939E-86498FD3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A4B35-9089-48A4-9980-AA222728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560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/>
  <cp:lastModifiedBy>Drábek Petr</cp:lastModifiedBy>
  <cp:revision>12</cp:revision>
  <cp:lastPrinted>2015-01-14T13:35:00Z</cp:lastPrinted>
  <dcterms:created xsi:type="dcterms:W3CDTF">2018-05-10T07:24:00Z</dcterms:created>
  <dcterms:modified xsi:type="dcterms:W3CDTF">2018-11-02T08:38:00Z</dcterms:modified>
</cp:coreProperties>
</file>