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spacing w:before="0" w:after="120"/>
        <w:rPr>
          <w:rFonts w:ascii="Tahoma" w:hAnsi="Tahoma" w:cs="Tahoma"/>
          <w:caps/>
          <w:szCs w:val="28"/>
        </w:rPr>
      </w:pPr>
      <w:r>
        <w:rPr>
          <w:rFonts w:cs="Tahoma" w:ascii="Tahoma" w:hAnsi="Tahoma"/>
          <w:caps/>
          <w:szCs w:val="28"/>
        </w:rPr>
        <w:t>Smlouva o dílo</w:t>
      </w:r>
    </w:p>
    <w:p>
      <w:pPr>
        <w:pStyle w:val="Normal"/>
        <w:keepNext w:val="true"/>
        <w:spacing w:before="360" w:after="0"/>
        <w:jc w:val="center"/>
        <w:rPr>
          <w:rFonts w:ascii="Tahoma" w:hAnsi="Tahoma" w:cs="Tahoma"/>
          <w:b/>
          <w:sz w:val="22"/>
          <w:szCs w:val="22"/>
        </w:rPr>
      </w:pPr>
      <w:r>
        <w:rPr>
          <w:rFonts w:cs="Tahoma" w:ascii="Tahoma" w:hAnsi="Tahoma"/>
          <w:b/>
          <w:sz w:val="22"/>
          <w:szCs w:val="22"/>
        </w:rPr>
        <w:t>I.</w:t>
        <w:br/>
        <w:t>Smluvní strany</w:t>
      </w:r>
    </w:p>
    <w:p>
      <w:pPr>
        <w:pStyle w:val="Normal"/>
        <w:numPr>
          <w:ilvl w:val="0"/>
          <w:numId w:val="33"/>
        </w:numPr>
        <w:spacing w:before="240" w:after="0"/>
        <w:ind w:hanging="426" w:left="426"/>
        <w:jc w:val="both"/>
        <w:rPr>
          <w:rFonts w:ascii="Tahoma" w:hAnsi="Tahoma" w:cs="Tahoma"/>
          <w:b/>
          <w:sz w:val="22"/>
          <w:szCs w:val="22"/>
        </w:rPr>
      </w:pPr>
      <w:r>
        <w:rPr>
          <w:rFonts w:cs="Tahoma" w:ascii="Tahoma" w:hAnsi="Tahoma"/>
          <w:b/>
          <w:sz w:val="22"/>
          <w:szCs w:val="22"/>
        </w:rPr>
        <w:t>Obec Horní Bludovice</w:t>
      </w:r>
    </w:p>
    <w:p>
      <w:pPr>
        <w:pStyle w:val="Normal"/>
        <w:numPr>
          <w:ilvl w:val="0"/>
          <w:numId w:val="0"/>
        </w:numPr>
        <w:tabs>
          <w:tab w:val="clear" w:pos="709"/>
          <w:tab w:val="left" w:pos="2835" w:leader="none"/>
        </w:tabs>
        <w:ind w:hanging="0" w:left="357"/>
        <w:jc w:val="both"/>
        <w:rPr>
          <w:rFonts w:ascii="Tahoma" w:hAnsi="Tahoma" w:cs="Tahoma"/>
          <w:sz w:val="22"/>
          <w:szCs w:val="22"/>
        </w:rPr>
      </w:pPr>
      <w:r>
        <w:rPr>
          <w:rFonts w:cs="Tahoma" w:ascii="Tahoma" w:hAnsi="Tahoma"/>
          <w:sz w:val="22"/>
          <w:szCs w:val="22"/>
        </w:rPr>
        <w:t>se sídlem:</w:t>
        <w:tab/>
        <w:t>Horní Bludovice 434, 739 37 Horní Bludovice</w:t>
      </w:r>
    </w:p>
    <w:p>
      <w:pPr>
        <w:pStyle w:val="Normal"/>
        <w:numPr>
          <w:ilvl w:val="0"/>
          <w:numId w:val="0"/>
        </w:numPr>
        <w:tabs>
          <w:tab w:val="clear" w:pos="709"/>
          <w:tab w:val="left" w:pos="2835" w:leader="none"/>
        </w:tabs>
        <w:ind w:hanging="0" w:left="357"/>
        <w:jc w:val="both"/>
        <w:rPr>
          <w:rFonts w:ascii="Tahoma" w:hAnsi="Tahoma" w:cs="Tahoma"/>
          <w:iCs/>
          <w:sz w:val="22"/>
          <w:szCs w:val="22"/>
        </w:rPr>
      </w:pPr>
      <w:r>
        <w:rPr>
          <w:rFonts w:cs="Tahoma" w:ascii="Tahoma" w:hAnsi="Tahoma"/>
          <w:sz w:val="22"/>
          <w:szCs w:val="22"/>
        </w:rPr>
        <w:t>zastoupena:</w:t>
        <w:tab/>
      </w:r>
      <w:r>
        <w:rPr>
          <w:rFonts w:cs="Tahoma" w:ascii="Tahoma" w:hAnsi="Tahoma"/>
          <w:iCs/>
          <w:sz w:val="22"/>
          <w:szCs w:val="22"/>
        </w:rPr>
        <w:t>Ing. Mgr. Bc. Roman Nytra - starosta</w:t>
      </w:r>
    </w:p>
    <w:p>
      <w:pPr>
        <w:pStyle w:val="Normal"/>
        <w:numPr>
          <w:ilvl w:val="0"/>
          <w:numId w:val="0"/>
        </w:numPr>
        <w:tabs>
          <w:tab w:val="clear" w:pos="709"/>
          <w:tab w:val="left" w:pos="2835" w:leader="none"/>
        </w:tabs>
        <w:ind w:hanging="0" w:left="357"/>
        <w:jc w:val="both"/>
        <w:rPr>
          <w:rFonts w:ascii="Tahoma" w:hAnsi="Tahoma" w:cs="Tahoma"/>
          <w:sz w:val="22"/>
          <w:szCs w:val="22"/>
        </w:rPr>
      </w:pPr>
      <w:r>
        <w:rPr>
          <w:rFonts w:cs="Tahoma" w:ascii="Tahoma" w:hAnsi="Tahoma"/>
          <w:sz w:val="22"/>
          <w:szCs w:val="22"/>
        </w:rPr>
        <w:t>IČ:</w:t>
        <w:tab/>
        <w:t>00296686</w:t>
      </w:r>
    </w:p>
    <w:p>
      <w:pPr>
        <w:pStyle w:val="Normal"/>
        <w:numPr>
          <w:ilvl w:val="0"/>
          <w:numId w:val="0"/>
        </w:numPr>
        <w:tabs>
          <w:tab w:val="clear" w:pos="709"/>
          <w:tab w:val="left" w:pos="2835" w:leader="none"/>
        </w:tabs>
        <w:ind w:hanging="0" w:left="357"/>
        <w:jc w:val="both"/>
        <w:rPr>
          <w:rFonts w:ascii="Tahoma" w:hAnsi="Tahoma" w:cs="Tahoma"/>
          <w:sz w:val="22"/>
          <w:szCs w:val="22"/>
        </w:rPr>
      </w:pPr>
      <w:r>
        <w:rPr>
          <w:rFonts w:cs="Tahoma" w:ascii="Tahoma" w:hAnsi="Tahoma"/>
          <w:sz w:val="22"/>
          <w:szCs w:val="22"/>
        </w:rPr>
        <w:t>DIČ:</w:t>
        <w:tab/>
        <w:t>CZ00296686</w:t>
      </w:r>
    </w:p>
    <w:p>
      <w:pPr>
        <w:pStyle w:val="Normal"/>
        <w:spacing w:before="120" w:after="0"/>
        <w:ind w:left="357"/>
        <w:jc w:val="both"/>
        <w:rPr>
          <w:rFonts w:ascii="Tahoma" w:hAnsi="Tahoma" w:cs="Tahoma"/>
          <w:iCs/>
          <w:sz w:val="22"/>
          <w:szCs w:val="22"/>
        </w:rPr>
      </w:pPr>
      <w:r>
        <w:rPr>
          <w:rFonts w:cs="Tahoma" w:ascii="Tahoma" w:hAnsi="Tahoma"/>
          <w:iCs/>
          <w:sz w:val="22"/>
          <w:szCs w:val="22"/>
        </w:rPr>
        <w:t>(</w:t>
      </w:r>
      <w:r>
        <w:rPr>
          <w:rFonts w:cs="Tahoma" w:ascii="Tahoma" w:hAnsi="Tahoma"/>
          <w:sz w:val="22"/>
          <w:szCs w:val="22"/>
        </w:rPr>
        <w:t>dále</w:t>
      </w:r>
      <w:r>
        <w:rPr>
          <w:rFonts w:cs="Tahoma" w:ascii="Tahoma" w:hAnsi="Tahoma"/>
          <w:iCs/>
          <w:sz w:val="22"/>
          <w:szCs w:val="22"/>
        </w:rPr>
        <w:t xml:space="preserve"> jen „</w:t>
      </w:r>
      <w:r>
        <w:rPr>
          <w:rFonts w:cs="Tahoma" w:ascii="Tahoma" w:hAnsi="Tahoma"/>
          <w:b/>
          <w:iCs/>
          <w:sz w:val="22"/>
          <w:szCs w:val="22"/>
        </w:rPr>
        <w:t>objednatel</w:t>
      </w:r>
      <w:r>
        <w:rPr>
          <w:rFonts w:cs="Tahoma" w:ascii="Tahoma" w:hAnsi="Tahoma"/>
          <w:iCs/>
          <w:sz w:val="22"/>
          <w:szCs w:val="22"/>
        </w:rPr>
        <w:t>“)</w:t>
      </w:r>
    </w:p>
    <w:p>
      <w:pPr>
        <w:pStyle w:val="Normal"/>
        <w:numPr>
          <w:ilvl w:val="0"/>
          <w:numId w:val="33"/>
        </w:numPr>
        <w:spacing w:before="240" w:after="0"/>
        <w:ind w:hanging="426" w:left="426"/>
        <w:jc w:val="both"/>
        <w:rPr>
          <w:rFonts w:ascii="Tahoma" w:hAnsi="Tahoma" w:cs="Tahoma"/>
          <w:b/>
          <w:sz w:val="22"/>
          <w:szCs w:val="22"/>
        </w:rPr>
      </w:pPr>
      <w:r>
        <w:rPr>
          <w:rFonts w:cs="Tahoma" w:ascii="Tahoma" w:hAnsi="Tahoma"/>
          <w:b/>
          <w:sz w:val="22"/>
          <w:szCs w:val="22"/>
        </w:rPr>
        <w:t>Obchodní</w:t>
      </w:r>
      <w:r>
        <w:rPr>
          <w:rFonts w:cs="Tahoma" w:ascii="Tahoma" w:hAnsi="Tahoma"/>
          <w:sz w:val="22"/>
          <w:szCs w:val="22"/>
        </w:rPr>
        <w:t xml:space="preserve"> </w:t>
      </w:r>
      <w:r>
        <w:rPr>
          <w:rFonts w:cs="Tahoma" w:ascii="Tahoma" w:hAnsi="Tahoma"/>
          <w:b/>
          <w:bCs/>
          <w:sz w:val="22"/>
          <w:szCs w:val="22"/>
        </w:rPr>
        <w:t>firma</w:t>
      </w:r>
    </w:p>
    <w:p>
      <w:pPr>
        <w:pStyle w:val="Normal"/>
        <w:numPr>
          <w:ilvl w:val="0"/>
          <w:numId w:val="0"/>
        </w:numPr>
        <w:tabs>
          <w:tab w:val="clear" w:pos="709"/>
          <w:tab w:val="left" w:pos="2835" w:leader="none"/>
        </w:tabs>
        <w:ind w:hanging="0" w:left="357"/>
        <w:jc w:val="both"/>
        <w:rPr>
          <w:rFonts w:ascii="Tahoma" w:hAnsi="Tahoma" w:cs="Tahoma"/>
          <w:sz w:val="22"/>
          <w:szCs w:val="22"/>
        </w:rPr>
      </w:pPr>
      <w:r>
        <w:rPr>
          <w:rFonts w:cs="Tahoma" w:ascii="Tahoma" w:hAnsi="Tahoma"/>
          <w:sz w:val="22"/>
          <w:szCs w:val="22"/>
        </w:rPr>
        <w:t>se sídlem:</w:t>
        <w:tab/>
      </w:r>
    </w:p>
    <w:p>
      <w:pPr>
        <w:pStyle w:val="Normal"/>
        <w:numPr>
          <w:ilvl w:val="0"/>
          <w:numId w:val="0"/>
        </w:numPr>
        <w:tabs>
          <w:tab w:val="clear" w:pos="709"/>
          <w:tab w:val="left" w:pos="2835" w:leader="none"/>
        </w:tabs>
        <w:ind w:hanging="0" w:left="357"/>
        <w:jc w:val="both"/>
        <w:rPr>
          <w:rFonts w:ascii="Tahoma" w:hAnsi="Tahoma" w:cs="Tahoma"/>
          <w:sz w:val="22"/>
          <w:szCs w:val="22"/>
        </w:rPr>
      </w:pPr>
      <w:r>
        <w:rPr>
          <w:rFonts w:cs="Tahoma" w:ascii="Tahoma" w:hAnsi="Tahoma"/>
          <w:sz w:val="22"/>
          <w:szCs w:val="22"/>
        </w:rPr>
        <w:t>zastoupena:</w:t>
        <w:tab/>
      </w:r>
    </w:p>
    <w:p>
      <w:pPr>
        <w:pStyle w:val="Normal"/>
        <w:numPr>
          <w:ilvl w:val="0"/>
          <w:numId w:val="0"/>
        </w:numPr>
        <w:tabs>
          <w:tab w:val="clear" w:pos="709"/>
          <w:tab w:val="left" w:pos="2835" w:leader="none"/>
        </w:tabs>
        <w:ind w:hanging="0" w:left="357"/>
        <w:jc w:val="both"/>
        <w:rPr>
          <w:rFonts w:ascii="Tahoma" w:hAnsi="Tahoma" w:cs="Tahoma"/>
          <w:sz w:val="22"/>
          <w:szCs w:val="22"/>
        </w:rPr>
      </w:pPr>
      <w:r>
        <w:rPr>
          <w:rFonts w:cs="Tahoma" w:ascii="Tahoma" w:hAnsi="Tahoma"/>
          <w:sz w:val="22"/>
          <w:szCs w:val="22"/>
        </w:rPr>
        <w:t>IČO:</w:t>
        <w:tab/>
      </w:r>
    </w:p>
    <w:p>
      <w:pPr>
        <w:pStyle w:val="Normal"/>
        <w:numPr>
          <w:ilvl w:val="0"/>
          <w:numId w:val="0"/>
        </w:numPr>
        <w:tabs>
          <w:tab w:val="clear" w:pos="709"/>
          <w:tab w:val="left" w:pos="2835" w:leader="none"/>
        </w:tabs>
        <w:ind w:hanging="0" w:left="357"/>
        <w:jc w:val="both"/>
        <w:rPr>
          <w:rFonts w:ascii="Tahoma" w:hAnsi="Tahoma" w:cs="Tahoma"/>
          <w:sz w:val="22"/>
          <w:szCs w:val="22"/>
        </w:rPr>
      </w:pPr>
      <w:r>
        <w:rPr>
          <w:rFonts w:cs="Tahoma" w:ascii="Tahoma" w:hAnsi="Tahoma"/>
          <w:sz w:val="22"/>
          <w:szCs w:val="22"/>
        </w:rPr>
        <w:t>DIČ:</w:t>
        <w:tab/>
      </w:r>
    </w:p>
    <w:p>
      <w:pPr>
        <w:pStyle w:val="Normal"/>
        <w:numPr>
          <w:ilvl w:val="0"/>
          <w:numId w:val="0"/>
        </w:numPr>
        <w:tabs>
          <w:tab w:val="clear" w:pos="709"/>
          <w:tab w:val="left" w:pos="2835" w:leader="none"/>
        </w:tabs>
        <w:ind w:hanging="0" w:left="357"/>
        <w:jc w:val="both"/>
        <w:rPr>
          <w:rFonts w:ascii="Tahoma" w:hAnsi="Tahoma" w:cs="Tahoma"/>
          <w:sz w:val="22"/>
          <w:szCs w:val="22"/>
        </w:rPr>
      </w:pPr>
      <w:r>
        <w:rPr>
          <w:rFonts w:cs="Tahoma" w:ascii="Tahoma" w:hAnsi="Tahoma"/>
          <w:sz w:val="22"/>
          <w:szCs w:val="22"/>
        </w:rPr>
        <w:t>bankovní spojení:</w:t>
        <w:tab/>
      </w:r>
    </w:p>
    <w:p>
      <w:pPr>
        <w:pStyle w:val="Normal"/>
        <w:numPr>
          <w:ilvl w:val="0"/>
          <w:numId w:val="0"/>
        </w:numPr>
        <w:tabs>
          <w:tab w:val="clear" w:pos="709"/>
          <w:tab w:val="left" w:pos="2835" w:leader="none"/>
        </w:tabs>
        <w:ind w:hanging="0" w:left="357"/>
        <w:jc w:val="both"/>
        <w:rPr>
          <w:rFonts w:ascii="Tahoma" w:hAnsi="Tahoma" w:cs="Tahoma"/>
          <w:sz w:val="22"/>
          <w:szCs w:val="22"/>
        </w:rPr>
      </w:pPr>
      <w:r>
        <w:rPr>
          <w:rFonts w:cs="Tahoma" w:ascii="Tahoma" w:hAnsi="Tahoma"/>
          <w:sz w:val="22"/>
          <w:szCs w:val="22"/>
        </w:rPr>
        <w:t>číslo účtu:</w:t>
        <w:tab/>
      </w:r>
    </w:p>
    <w:p>
      <w:pPr>
        <w:pStyle w:val="Normal"/>
        <w:spacing w:before="120" w:after="0"/>
        <w:ind w:left="357"/>
        <w:jc w:val="both"/>
        <w:rPr>
          <w:rFonts w:ascii="Tahoma" w:hAnsi="Tahoma" w:cs="Tahoma"/>
          <w:sz w:val="22"/>
          <w:szCs w:val="22"/>
        </w:rPr>
      </w:pPr>
      <w:r>
        <w:rPr>
          <w:rFonts w:cs="Tahoma" w:ascii="Tahoma" w:hAnsi="Tahoma"/>
          <w:sz w:val="22"/>
          <w:szCs w:val="22"/>
        </w:rPr>
        <w:t>Zapsána v obchodním rejstříku vedeném ……………… soudem v ……………, sp. zn. …</w:t>
      </w:r>
    </w:p>
    <w:p>
      <w:pPr>
        <w:pStyle w:val="Normal"/>
        <w:spacing w:before="120" w:after="0"/>
        <w:ind w:left="357"/>
        <w:jc w:val="both"/>
        <w:rPr>
          <w:rFonts w:ascii="Tahoma" w:hAnsi="Tahoma" w:cs="Tahoma"/>
          <w:sz w:val="22"/>
          <w:szCs w:val="22"/>
        </w:rPr>
      </w:pPr>
      <w:r>
        <w:rPr>
          <w:rFonts w:cs="Tahoma" w:ascii="Tahoma" w:hAnsi="Tahoma"/>
          <w:sz w:val="22"/>
          <w:szCs w:val="22"/>
        </w:rPr>
        <w:t>Osoba oprávněná jednat ve věcech technických a realizace stavby:</w:t>
      </w:r>
    </w:p>
    <w:p>
      <w:pPr>
        <w:pStyle w:val="dajeOSmluvnStran"/>
        <w:numPr>
          <w:ilvl w:val="0"/>
          <w:numId w:val="0"/>
        </w:numPr>
        <w:spacing w:before="60" w:after="0"/>
        <w:ind w:hanging="0" w:left="357"/>
        <w:jc w:val="both"/>
        <w:rPr>
          <w:rFonts w:ascii="Tahoma" w:hAnsi="Tahoma" w:cs="Tahoma"/>
          <w:sz w:val="22"/>
          <w:szCs w:val="22"/>
        </w:rPr>
      </w:pPr>
      <w:r>
        <w:rPr>
          <w:rFonts w:cs="Tahoma" w:ascii="Tahoma" w:hAnsi="Tahoma"/>
          <w:sz w:val="22"/>
          <w:szCs w:val="22"/>
        </w:rPr>
        <w:t>……………………………………………</w:t>
      </w:r>
      <w:r>
        <w:rPr>
          <w:rFonts w:cs="Tahoma" w:ascii="Tahoma" w:hAnsi="Tahoma"/>
          <w:sz w:val="22"/>
          <w:szCs w:val="22"/>
        </w:rPr>
        <w:t>, tel.: ………………</w:t>
      </w:r>
    </w:p>
    <w:p>
      <w:pPr>
        <w:pStyle w:val="Normal"/>
        <w:spacing w:before="120" w:after="0"/>
        <w:ind w:left="357"/>
        <w:jc w:val="both"/>
        <w:rPr>
          <w:rFonts w:ascii="Tahoma" w:hAnsi="Tahoma" w:cs="Tahoma"/>
          <w:iCs/>
          <w:sz w:val="22"/>
          <w:szCs w:val="22"/>
        </w:rPr>
      </w:pPr>
      <w:r>
        <w:rPr>
          <w:rFonts w:cs="Tahoma" w:ascii="Tahoma" w:hAnsi="Tahoma"/>
          <w:iCs/>
          <w:sz w:val="22"/>
          <w:szCs w:val="22"/>
        </w:rPr>
        <w:t>(</w:t>
      </w:r>
      <w:r>
        <w:rPr>
          <w:rFonts w:cs="Tahoma" w:ascii="Tahoma" w:hAnsi="Tahoma"/>
          <w:sz w:val="22"/>
          <w:szCs w:val="22"/>
        </w:rPr>
        <w:t>dále</w:t>
      </w:r>
      <w:r>
        <w:rPr>
          <w:rFonts w:cs="Tahoma" w:ascii="Tahoma" w:hAnsi="Tahoma"/>
          <w:iCs/>
          <w:sz w:val="22"/>
          <w:szCs w:val="22"/>
        </w:rPr>
        <w:t xml:space="preserve"> jen „</w:t>
      </w:r>
      <w:r>
        <w:rPr>
          <w:rFonts w:cs="Tahoma" w:ascii="Tahoma" w:hAnsi="Tahoma"/>
          <w:b/>
          <w:iCs/>
          <w:sz w:val="22"/>
          <w:szCs w:val="22"/>
        </w:rPr>
        <w:t>zhotovitel</w:t>
      </w:r>
      <w:r>
        <w:rPr>
          <w:rFonts w:cs="Tahoma" w:ascii="Tahoma" w:hAnsi="Tahoma"/>
          <w:iCs/>
          <w:sz w:val="22"/>
          <w:szCs w:val="22"/>
        </w:rPr>
        <w:t>“)</w:t>
      </w:r>
    </w:p>
    <w:p>
      <w:pPr>
        <w:pStyle w:val="Normal"/>
        <w:spacing w:before="120" w:after="0"/>
        <w:ind w:left="426"/>
        <w:jc w:val="both"/>
        <w:rPr>
          <w:rFonts w:ascii="Tahoma" w:hAnsi="Tahoma" w:cs="Tahoma"/>
          <w:i/>
          <w:color w:val="FF0000"/>
          <w:sz w:val="22"/>
          <w:szCs w:val="22"/>
        </w:rPr>
      </w:pPr>
      <w:r>
        <w:rPr>
          <w:rFonts w:cs="Tahoma" w:ascii="Tahoma" w:hAnsi="Tahoma"/>
          <w:i/>
          <w:iCs/>
          <w:color w:val="FF0000"/>
          <w:sz w:val="22"/>
          <w:szCs w:val="22"/>
        </w:rPr>
        <w:t>Odst. 2 doplní účastník/zhotovitel - ú</w:t>
      </w:r>
      <w:r>
        <w:rPr>
          <w:rFonts w:cs="Tahoma" w:ascii="Tahoma" w:hAnsi="Tahoma"/>
          <w:i/>
          <w:color w:val="FF0000"/>
          <w:sz w:val="22"/>
          <w:szCs w:val="22"/>
        </w:rPr>
        <w:t>daje na řádcích 1-4 se vyplní dle výpisu z obchodního rejstříku. Pokud je zhotovitelem fyzická osoba – podnikatel nezapsaný v obchodním rejstříku, je třeba vypustit řádek „zastoupena:“ a místo řádku „zapsána v obchodním rejstříku…“ uvést údaj o zápisu do jiné evidence, ve které je daná osoba zapsána.</w:t>
      </w:r>
    </w:p>
    <w:p>
      <w:pPr>
        <w:pStyle w:val="Normal"/>
        <w:keepNext w:val="true"/>
        <w:spacing w:before="360" w:after="0"/>
        <w:jc w:val="center"/>
        <w:rPr>
          <w:rFonts w:ascii="Tahoma" w:hAnsi="Tahoma" w:cs="Tahoma"/>
          <w:b/>
          <w:sz w:val="22"/>
          <w:szCs w:val="22"/>
        </w:rPr>
      </w:pPr>
      <w:r>
        <w:rPr>
          <w:rFonts w:cs="Tahoma" w:ascii="Tahoma" w:hAnsi="Tahoma"/>
          <w:b/>
          <w:sz w:val="22"/>
          <w:szCs w:val="22"/>
        </w:rPr>
        <w:t>II.</w:t>
        <w:br/>
        <w:t>Základní ustanovení</w:t>
      </w:r>
    </w:p>
    <w:p>
      <w:pPr>
        <w:pStyle w:val="OdstavecSmlouvy"/>
        <w:keepLines w:val="false"/>
        <w:numPr>
          <w:ilvl w:val="0"/>
          <w:numId w:val="22"/>
        </w:numPr>
        <w:tabs>
          <w:tab w:val="clear" w:pos="426"/>
          <w:tab w:val="clear" w:pos="1701"/>
        </w:tabs>
        <w:spacing w:before="120" w:after="0"/>
        <w:ind w:hanging="357" w:left="357"/>
        <w:rPr>
          <w:rFonts w:ascii="Tahoma" w:hAnsi="Tahoma" w:cs="Tahoma"/>
          <w:caps/>
          <w:sz w:val="22"/>
          <w:szCs w:val="22"/>
        </w:rPr>
      </w:pPr>
      <w:r>
        <w:rPr>
          <w:rFonts w:cs="Tahoma" w:ascii="Tahoma" w:hAnsi="Tahoma"/>
          <w:sz w:val="22"/>
          <w:szCs w:val="22"/>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pPr>
        <w:pStyle w:val="OdstavecSmlouvy"/>
        <w:keepLines w:val="false"/>
        <w:numPr>
          <w:ilvl w:val="0"/>
          <w:numId w:val="22"/>
        </w:numPr>
        <w:tabs>
          <w:tab w:val="clear" w:pos="426"/>
          <w:tab w:val="clear" w:pos="1701"/>
        </w:tabs>
        <w:spacing w:before="120" w:after="0"/>
        <w:ind w:hanging="357" w:left="357"/>
        <w:rPr>
          <w:rFonts w:ascii="Tahoma" w:hAnsi="Tahoma" w:cs="Tahoma"/>
          <w:sz w:val="22"/>
          <w:szCs w:val="22"/>
        </w:rPr>
      </w:pPr>
      <w:r>
        <w:rPr>
          <w:rFonts w:cs="Tahoma" w:ascii="Tahoma" w:hAnsi="Tahoma"/>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pPr>
        <w:pStyle w:val="OdstavecSmlouvy"/>
        <w:keepLines w:val="false"/>
        <w:numPr>
          <w:ilvl w:val="0"/>
          <w:numId w:val="22"/>
        </w:numPr>
        <w:tabs>
          <w:tab w:val="clear" w:pos="426"/>
          <w:tab w:val="clear" w:pos="1701"/>
        </w:tabs>
        <w:spacing w:before="120" w:after="0"/>
        <w:ind w:hanging="357" w:left="357"/>
        <w:rPr>
          <w:rFonts w:ascii="Tahoma" w:hAnsi="Tahoma" w:cs="Tahoma"/>
          <w:sz w:val="22"/>
          <w:szCs w:val="22"/>
        </w:rPr>
      </w:pPr>
      <w:r>
        <w:rPr>
          <w:rFonts w:cs="Tahoma" w:ascii="Tahoma" w:hAnsi="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pPr>
        <w:pStyle w:val="OdstavecSmlouvy"/>
        <w:keepLines w:val="false"/>
        <w:numPr>
          <w:ilvl w:val="0"/>
          <w:numId w:val="22"/>
        </w:numPr>
        <w:tabs>
          <w:tab w:val="clear" w:pos="426"/>
          <w:tab w:val="clear" w:pos="1701"/>
        </w:tabs>
        <w:spacing w:before="120" w:after="0"/>
        <w:ind w:hanging="357" w:left="357"/>
        <w:rPr>
          <w:rFonts w:ascii="Tahoma" w:hAnsi="Tahoma" w:cs="Tahoma"/>
          <w:sz w:val="22"/>
          <w:szCs w:val="22"/>
        </w:rPr>
      </w:pPr>
      <w:r>
        <w:rPr>
          <w:rFonts w:cs="Tahoma" w:ascii="Tahoma" w:hAnsi="Tahoma"/>
          <w:sz w:val="22"/>
          <w:szCs w:val="22"/>
        </w:rPr>
        <w:t>Smluvní strany prohlašují, že osoby podepisující tuto smlouvu jsou k tomuto jednání oprávněny.</w:t>
      </w:r>
    </w:p>
    <w:p>
      <w:pPr>
        <w:pStyle w:val="OdstavecSmlouvy"/>
        <w:keepLines w:val="false"/>
        <w:numPr>
          <w:ilvl w:val="0"/>
          <w:numId w:val="22"/>
        </w:numPr>
        <w:tabs>
          <w:tab w:val="clear" w:pos="426"/>
          <w:tab w:val="clear" w:pos="1701"/>
        </w:tabs>
        <w:spacing w:before="120" w:after="0"/>
        <w:ind w:hanging="357" w:left="357"/>
        <w:rPr>
          <w:rFonts w:ascii="Tahoma" w:hAnsi="Tahoma" w:cs="Tahoma"/>
          <w:sz w:val="22"/>
          <w:szCs w:val="22"/>
        </w:rPr>
      </w:pPr>
      <w:r>
        <w:rPr>
          <w:rFonts w:cs="Tahoma" w:ascii="Tahoma" w:hAnsi="Tahoma"/>
          <w:sz w:val="22"/>
          <w:szCs w:val="22"/>
        </w:rPr>
        <w:t>Zhotovitel prohlašuje, že je odborně způsobilý k zajištění předmětu plnění podle této smlouvy.</w:t>
      </w:r>
    </w:p>
    <w:p>
      <w:pPr>
        <w:pStyle w:val="OdstavecSmlouvy"/>
        <w:keepLines w:val="false"/>
        <w:numPr>
          <w:ilvl w:val="0"/>
          <w:numId w:val="22"/>
        </w:numPr>
        <w:tabs>
          <w:tab w:val="clear" w:pos="426"/>
          <w:tab w:val="clear" w:pos="1701"/>
        </w:tabs>
        <w:spacing w:before="120" w:after="0"/>
        <w:ind w:hanging="357" w:left="357"/>
        <w:rPr>
          <w:rFonts w:ascii="Tahoma" w:hAnsi="Tahoma" w:cs="Tahoma"/>
          <w:sz w:val="22"/>
          <w:szCs w:val="22"/>
        </w:rPr>
      </w:pPr>
      <w:r>
        <w:rPr>
          <w:rFonts w:cs="Tahoma" w:ascii="Tahoma" w:hAnsi="Tahoma"/>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pPr>
        <w:pStyle w:val="OdstavecSmlouvy"/>
        <w:keepLines w:val="false"/>
        <w:numPr>
          <w:ilvl w:val="0"/>
          <w:numId w:val="22"/>
        </w:numPr>
        <w:tabs>
          <w:tab w:val="clear" w:pos="426"/>
          <w:tab w:val="clear" w:pos="1701"/>
        </w:tabs>
        <w:spacing w:before="120" w:after="0"/>
        <w:ind w:hanging="357" w:left="357"/>
        <w:rPr>
          <w:rFonts w:ascii="Tahoma" w:hAnsi="Tahoma" w:cs="Tahoma"/>
          <w:sz w:val="22"/>
          <w:szCs w:val="22"/>
        </w:rPr>
      </w:pPr>
      <w:r>
        <w:rPr>
          <w:rFonts w:cs="Tahoma" w:ascii="Tahoma" w:hAnsi="Tahoma"/>
          <w:sz w:val="22"/>
          <w:szCs w:val="22"/>
        </w:rPr>
        <w:t>Smluvní strany prohlašují, že předmět plnění podle této smlouvy není plněním nemožným a že smlouvu uzavírají po pečlivém zvážení všech možných důsledků.</w:t>
      </w:r>
    </w:p>
    <w:p>
      <w:pPr>
        <w:pStyle w:val="Normal"/>
        <w:keepNext w:val="true"/>
        <w:spacing w:before="360" w:after="0"/>
        <w:jc w:val="center"/>
        <w:rPr>
          <w:rFonts w:ascii="Tahoma" w:hAnsi="Tahoma" w:cs="Tahoma"/>
          <w:b/>
          <w:sz w:val="22"/>
          <w:szCs w:val="22"/>
        </w:rPr>
      </w:pPr>
      <w:r>
        <w:rPr>
          <w:rFonts w:cs="Tahoma" w:ascii="Tahoma" w:hAnsi="Tahoma"/>
          <w:b/>
          <w:sz w:val="22"/>
          <w:szCs w:val="22"/>
        </w:rPr>
        <w:t>III.</w:t>
        <w:br/>
        <w:t>Předmět smlouvy</w:t>
      </w:r>
    </w:p>
    <w:p>
      <w:pPr>
        <w:pStyle w:val="Normal"/>
        <w:numPr>
          <w:ilvl w:val="0"/>
          <w:numId w:val="16"/>
        </w:numPr>
        <w:tabs>
          <w:tab w:val="clear" w:pos="709"/>
        </w:tabs>
        <w:spacing w:before="120" w:after="0"/>
        <w:jc w:val="both"/>
        <w:rPr>
          <w:rFonts w:ascii="Tahoma" w:hAnsi="Tahoma" w:cs="Tahoma"/>
          <w:sz w:val="22"/>
          <w:szCs w:val="22"/>
        </w:rPr>
      </w:pPr>
      <w:r>
        <w:rPr>
          <w:rFonts w:cs="Tahoma" w:ascii="Tahoma" w:hAnsi="Tahoma"/>
          <w:sz w:val="22"/>
          <w:szCs w:val="22"/>
        </w:rPr>
        <w:t>Zhotovitel se zavazuje provést pro objednatele na svůj náklad a nebezpečí stavbu „Chodník Záguří - Těrlicko“ (dále jen „stavba“) v rozsahu dle:</w:t>
      </w:r>
    </w:p>
    <w:p>
      <w:pPr>
        <w:pStyle w:val="Normal"/>
        <w:numPr>
          <w:ilvl w:val="0"/>
          <w:numId w:val="23"/>
        </w:numPr>
        <w:tabs>
          <w:tab w:val="clear" w:pos="709"/>
        </w:tabs>
        <w:spacing w:before="60" w:after="0"/>
        <w:ind w:hanging="283" w:left="709"/>
        <w:jc w:val="both"/>
        <w:rPr>
          <w:rFonts w:ascii="Tahoma" w:hAnsi="Tahoma" w:cs="Tahoma"/>
          <w:sz w:val="22"/>
          <w:szCs w:val="22"/>
        </w:rPr>
      </w:pPr>
      <w:r>
        <w:rPr>
          <w:rFonts w:cs="Tahoma" w:ascii="Tahoma" w:hAnsi="Tahoma"/>
          <w:iCs/>
          <w:sz w:val="22"/>
          <w:szCs w:val="22"/>
        </w:rPr>
        <w:t>projektové</w:t>
      </w:r>
      <w:r>
        <w:rPr>
          <w:rFonts w:cs="Tahoma" w:ascii="Tahoma" w:hAnsi="Tahoma"/>
          <w:sz w:val="22"/>
          <w:szCs w:val="22"/>
        </w:rPr>
        <w:t xml:space="preserve"> dokumentace stavby zpracované subjektem ASA expert a.s., Lešetínská 626/24, 719 00 Ostrava, IČ: 27791891</w:t>
      </w:r>
    </w:p>
    <w:p>
      <w:pPr>
        <w:pStyle w:val="Normal"/>
        <w:numPr>
          <w:ilvl w:val="0"/>
          <w:numId w:val="23"/>
        </w:numPr>
        <w:tabs>
          <w:tab w:val="clear" w:pos="709"/>
          <w:tab w:val="left" w:pos="714" w:leader="none"/>
        </w:tabs>
        <w:spacing w:before="60" w:after="0"/>
        <w:ind w:hanging="283" w:left="709"/>
        <w:jc w:val="both"/>
        <w:rPr>
          <w:rFonts w:ascii="Tahoma" w:hAnsi="Tahoma" w:cs="Tahoma"/>
          <w:sz w:val="22"/>
          <w:szCs w:val="22"/>
        </w:rPr>
      </w:pPr>
      <w:r>
        <w:rPr>
          <w:rFonts w:cs="Tahoma" w:ascii="Tahoma" w:hAnsi="Tahoma"/>
          <w:sz w:val="22"/>
          <w:szCs w:val="22"/>
        </w:rPr>
        <w:t>oceněného soupisu prací, dodávek a služeb, který je součástí nabídky zhotovitele podané v rámci veřejné zakázky na výběr zhotovitele díla dle této smlouvy (dále jen „soupis prací“),</w:t>
      </w:r>
    </w:p>
    <w:p>
      <w:pPr>
        <w:pStyle w:val="Normal"/>
        <w:numPr>
          <w:ilvl w:val="0"/>
          <w:numId w:val="23"/>
        </w:numPr>
        <w:tabs>
          <w:tab w:val="clear" w:pos="709"/>
          <w:tab w:val="left" w:pos="720" w:leader="none"/>
        </w:tabs>
        <w:spacing w:before="60" w:after="0"/>
        <w:ind w:hanging="357" w:left="714"/>
        <w:jc w:val="both"/>
        <w:rPr>
          <w:rFonts w:ascii="Tahoma" w:hAnsi="Tahoma" w:cs="Tahoma"/>
          <w:sz w:val="22"/>
          <w:szCs w:val="22"/>
        </w:rPr>
      </w:pPr>
      <w:r>
        <w:rPr>
          <w:rFonts w:cs="Tahoma" w:ascii="Tahoma" w:hAnsi="Tahoma"/>
          <w:sz w:val="22"/>
          <w:szCs w:val="22"/>
        </w:rPr>
        <w:t>společného povolení pro stavbu,</w:t>
      </w:r>
    </w:p>
    <w:p>
      <w:pPr>
        <w:pStyle w:val="Normal"/>
        <w:numPr>
          <w:ilvl w:val="0"/>
          <w:numId w:val="23"/>
        </w:numPr>
        <w:tabs>
          <w:tab w:val="clear" w:pos="709"/>
          <w:tab w:val="left" w:pos="720" w:leader="none"/>
        </w:tabs>
        <w:spacing w:before="60" w:after="0"/>
        <w:ind w:hanging="357" w:left="714"/>
        <w:jc w:val="both"/>
        <w:rPr>
          <w:rFonts w:ascii="Tahoma" w:hAnsi="Tahoma" w:cs="Tahoma"/>
          <w:sz w:val="22"/>
          <w:szCs w:val="22"/>
        </w:rPr>
      </w:pPr>
      <w:r>
        <w:rPr>
          <w:rFonts w:cs="Tahoma" w:ascii="Tahoma" w:hAnsi="Tahoma"/>
          <w:sz w:val="22"/>
          <w:szCs w:val="22"/>
        </w:rPr>
        <w:t>předpisů upravujících provádění stavebních děl a</w:t>
      </w:r>
    </w:p>
    <w:p>
      <w:pPr>
        <w:pStyle w:val="Normal"/>
        <w:numPr>
          <w:ilvl w:val="0"/>
          <w:numId w:val="23"/>
        </w:numPr>
        <w:tabs>
          <w:tab w:val="clear" w:pos="709"/>
          <w:tab w:val="left" w:pos="720" w:leader="none"/>
        </w:tabs>
        <w:spacing w:before="60" w:after="0"/>
        <w:ind w:hanging="357" w:left="714"/>
        <w:jc w:val="both"/>
        <w:rPr>
          <w:rFonts w:ascii="Tahoma" w:hAnsi="Tahoma" w:cs="Tahoma"/>
          <w:sz w:val="22"/>
          <w:szCs w:val="22"/>
        </w:rPr>
      </w:pPr>
      <w:r>
        <w:rPr>
          <w:rFonts w:cs="Tahoma" w:ascii="Tahoma" w:hAnsi="Tahoma"/>
          <w:sz w:val="22"/>
          <w:szCs w:val="22"/>
        </w:rPr>
        <w:t>ustanovení této smlouvy</w:t>
      </w:r>
    </w:p>
    <w:p>
      <w:pPr>
        <w:pStyle w:val="Normal"/>
        <w:spacing w:before="120" w:after="0"/>
        <w:ind w:left="357"/>
        <w:jc w:val="both"/>
        <w:rPr>
          <w:rFonts w:ascii="Tahoma" w:hAnsi="Tahoma" w:cs="Tahoma"/>
          <w:sz w:val="22"/>
          <w:szCs w:val="22"/>
        </w:rPr>
      </w:pPr>
      <w:r>
        <w:rPr>
          <w:rFonts w:cs="Tahoma" w:ascii="Tahoma" w:hAnsi="Tahoma"/>
          <w:sz w:val="22"/>
          <w:szCs w:val="22"/>
        </w:rPr>
        <w:t>(dále jen „dílo“).</w:t>
      </w:r>
    </w:p>
    <w:p>
      <w:pPr>
        <w:pStyle w:val="Normal"/>
        <w:numPr>
          <w:ilvl w:val="0"/>
          <w:numId w:val="16"/>
        </w:numPr>
        <w:tabs>
          <w:tab w:val="clear" w:pos="709"/>
        </w:tabs>
        <w:spacing w:before="120" w:after="0"/>
        <w:jc w:val="both"/>
        <w:rPr>
          <w:rFonts w:ascii="Tahoma" w:hAnsi="Tahoma" w:cs="Tahoma"/>
          <w:sz w:val="22"/>
          <w:szCs w:val="22"/>
        </w:rPr>
      </w:pPr>
      <w:r>
        <w:rPr>
          <w:rFonts w:cs="Tahoma" w:ascii="Tahoma" w:hAnsi="Tahoma"/>
          <w:sz w:val="22"/>
          <w:szCs w:val="22"/>
        </w:rPr>
        <w:t>Součástí díla je také:</w:t>
      </w:r>
    </w:p>
    <w:p>
      <w:pPr>
        <w:pStyle w:val="BodyText"/>
        <w:numPr>
          <w:ilvl w:val="0"/>
          <w:numId w:val="2"/>
        </w:numPr>
        <w:tabs>
          <w:tab w:val="clear" w:pos="540"/>
          <w:tab w:val="clear" w:pos="1260"/>
          <w:tab w:val="clear" w:pos="1980"/>
          <w:tab w:val="clear" w:pos="3960"/>
          <w:tab w:val="left" w:pos="714" w:leader="none"/>
        </w:tabs>
        <w:spacing w:before="60" w:after="0"/>
        <w:ind w:hanging="357" w:left="714"/>
        <w:rPr>
          <w:rFonts w:ascii="Tahoma" w:hAnsi="Tahoma" w:eastAsia="Tahoma" w:cs="Tahoma"/>
          <w:sz w:val="22"/>
          <w:szCs w:val="22"/>
        </w:rPr>
      </w:pPr>
      <w:r>
        <w:rPr>
          <w:rFonts w:cs="Tahoma" w:ascii="Tahoma" w:hAnsi="Tahoma"/>
          <w:sz w:val="22"/>
          <w:szCs w:val="22"/>
        </w:rPr>
        <w:t>zpracování dokumentace skutečného provedení stavby ve třech listinných vyhotoveních a geodetické zaměření stavby včetně geometrického plánu v šesti vyhotoveních</w:t>
      </w:r>
      <w:r>
        <w:rPr>
          <w:rFonts w:eastAsia="Tahoma" w:cs="Tahoma" w:ascii="Tahoma" w:hAnsi="Tahoma"/>
          <w:sz w:val="22"/>
          <w:szCs w:val="22"/>
        </w:rPr>
        <w:t xml:space="preserve"> v souladu se zákonem č. 200/1994 Sb., o zeměměřictví a o změně a doplnění některých zákonů souvisejících s jeho zavedením, ve znění pozdějších předpisů a jeho prováděcími předpisy</w:t>
      </w:r>
      <w:r>
        <w:rPr>
          <w:rFonts w:cs="Tahoma" w:ascii="Tahoma" w:hAnsi="Tahoma"/>
          <w:sz w:val="22"/>
          <w:szCs w:val="22"/>
        </w:rPr>
        <w:t>. Dokumentace skutečného provedení stavby a geodetické zaměření stavby budou objednateli dodány také 2x v elektronické podobě, a to na elektronickém nosiči ve formátu pro texty *.doc (*.rtf), pro tabulky *.xls, pro skenované dokumenty *.pdf, pro výkresovou dokumentaci *.dwg a zároveň *.pdf. Případné vícetisky budou účtovány zvlášť,</w:t>
      </w:r>
    </w:p>
    <w:p>
      <w:pPr>
        <w:pStyle w:val="BodyText"/>
        <w:numPr>
          <w:ilvl w:val="0"/>
          <w:numId w:val="2"/>
        </w:numPr>
        <w:tabs>
          <w:tab w:val="clear" w:pos="540"/>
          <w:tab w:val="clear" w:pos="1260"/>
          <w:tab w:val="clear" w:pos="1980"/>
          <w:tab w:val="clear" w:pos="3960"/>
          <w:tab w:val="left" w:pos="709" w:leader="none"/>
        </w:tabs>
        <w:spacing w:before="60" w:after="0"/>
        <w:ind w:hanging="357" w:left="714"/>
        <w:rPr>
          <w:rFonts w:ascii="Tahoma" w:hAnsi="Tahoma" w:cs="Tahoma"/>
          <w:sz w:val="22"/>
          <w:szCs w:val="22"/>
        </w:rPr>
      </w:pPr>
      <w:r>
        <w:rPr>
          <w:rFonts w:cs="Tahoma" w:ascii="Tahoma" w:hAnsi="Tahoma"/>
          <w:sz w:val="22"/>
          <w:szCs w:val="22"/>
        </w:rPr>
        <w:t>zabezpečení souhlasu (rozhodnutí) ke zvláštnímu užívání veřejného prostranství nebo komunikací dle platných předpisů, v souladu s požadavky projektové dokumentace. Neprodleně po vydání souhlasu (rozhodnutí), předání úplné kopie souhlasu (rozhodnutí), včetně případných příloh (podmínek) objednateli,</w:t>
      </w:r>
    </w:p>
    <w:p>
      <w:pPr>
        <w:pStyle w:val="BodyText"/>
        <w:numPr>
          <w:ilvl w:val="0"/>
          <w:numId w:val="2"/>
        </w:numPr>
        <w:tabs>
          <w:tab w:val="clear" w:pos="540"/>
          <w:tab w:val="clear" w:pos="1260"/>
          <w:tab w:val="clear" w:pos="1980"/>
          <w:tab w:val="clear" w:pos="3960"/>
          <w:tab w:val="left" w:pos="709" w:leader="none"/>
        </w:tabs>
        <w:spacing w:before="60" w:after="0"/>
        <w:ind w:hanging="357" w:left="714"/>
        <w:rPr>
          <w:rFonts w:ascii="Tahoma" w:hAnsi="Tahoma" w:cs="Tahoma"/>
          <w:sz w:val="22"/>
          <w:szCs w:val="22"/>
        </w:rPr>
      </w:pPr>
      <w:r>
        <w:rPr>
          <w:rFonts w:cs="Tahoma" w:ascii="Tahoma" w:hAnsi="Tahoma"/>
          <w:sz w:val="22"/>
          <w:szCs w:val="22"/>
        </w:rPr>
        <w:t>zpracování dokumentace dočasného dopravního značení včetně projednání s příslušnými správními orgány,</w:t>
      </w:r>
    </w:p>
    <w:p>
      <w:pPr>
        <w:pStyle w:val="BodyText"/>
        <w:numPr>
          <w:ilvl w:val="0"/>
          <w:numId w:val="2"/>
        </w:numPr>
        <w:tabs>
          <w:tab w:val="clear" w:pos="540"/>
          <w:tab w:val="clear" w:pos="1260"/>
          <w:tab w:val="clear" w:pos="1980"/>
          <w:tab w:val="clear" w:pos="3960"/>
          <w:tab w:val="left" w:pos="709" w:leader="none"/>
        </w:tabs>
        <w:spacing w:before="60" w:after="0"/>
        <w:ind w:hanging="357" w:left="714"/>
        <w:rPr>
          <w:rFonts w:ascii="Tahoma" w:hAnsi="Tahoma" w:cs="Tahoma"/>
          <w:sz w:val="22"/>
          <w:szCs w:val="22"/>
        </w:rPr>
      </w:pPr>
      <w:r>
        <w:rPr>
          <w:rFonts w:cs="Tahoma" w:ascii="Tahoma" w:hAnsi="Tahoma"/>
          <w:sz w:val="22"/>
          <w:szCs w:val="22"/>
        </w:rPr>
        <w:t>osazení a údržba dopravního značení v průběhu provádění stavebních prací dle dokumentace dopravního značení, včetně uvedení do původního stavu a vrácení jejich správci,</w:t>
      </w:r>
    </w:p>
    <w:p>
      <w:pPr>
        <w:pStyle w:val="BodyText"/>
        <w:numPr>
          <w:ilvl w:val="0"/>
          <w:numId w:val="2"/>
        </w:numPr>
        <w:tabs>
          <w:tab w:val="clear" w:pos="540"/>
          <w:tab w:val="clear" w:pos="1260"/>
          <w:tab w:val="clear" w:pos="1980"/>
          <w:tab w:val="clear" w:pos="3960"/>
          <w:tab w:val="left" w:pos="709" w:leader="none"/>
        </w:tabs>
        <w:spacing w:before="60" w:after="0"/>
        <w:ind w:hanging="357" w:left="714"/>
        <w:rPr>
          <w:rFonts w:ascii="Tahoma" w:hAnsi="Tahoma" w:cs="Tahoma"/>
          <w:sz w:val="22"/>
          <w:szCs w:val="22"/>
        </w:rPr>
      </w:pPr>
      <w:r>
        <w:rPr>
          <w:rFonts w:cs="Tahoma" w:ascii="Tahoma" w:hAnsi="Tahoma"/>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283/2021 Sb., Stavební zákon, ve znění pozdějších předpisů (dále jen „stavební zákon“),</w:t>
      </w:r>
    </w:p>
    <w:p>
      <w:pPr>
        <w:pStyle w:val="BodyText"/>
        <w:numPr>
          <w:ilvl w:val="0"/>
          <w:numId w:val="2"/>
        </w:numPr>
        <w:tabs>
          <w:tab w:val="clear" w:pos="540"/>
          <w:tab w:val="clear" w:pos="1260"/>
          <w:tab w:val="clear" w:pos="1980"/>
          <w:tab w:val="clear" w:pos="3960"/>
          <w:tab w:val="left" w:pos="709" w:leader="none"/>
        </w:tabs>
        <w:spacing w:before="60" w:after="0"/>
        <w:ind w:hanging="357" w:left="714"/>
        <w:rPr>
          <w:rFonts w:ascii="Tahoma" w:hAnsi="Tahoma" w:cs="Tahoma"/>
          <w:sz w:val="22"/>
          <w:szCs w:val="22"/>
        </w:rPr>
      </w:pPr>
      <w:r>
        <w:rPr>
          <w:rFonts w:cs="Tahoma" w:ascii="Tahoma" w:hAnsi="Tahoma"/>
          <w:sz w:val="22"/>
          <w:szCs w:val="22"/>
        </w:rPr>
        <w:t>zajištění vytyčení obvodu staveniště,</w:t>
      </w:r>
    </w:p>
    <w:p>
      <w:pPr>
        <w:pStyle w:val="BodyText"/>
        <w:numPr>
          <w:ilvl w:val="0"/>
          <w:numId w:val="2"/>
        </w:numPr>
        <w:tabs>
          <w:tab w:val="clear" w:pos="540"/>
          <w:tab w:val="clear" w:pos="1260"/>
          <w:tab w:val="clear" w:pos="1980"/>
          <w:tab w:val="clear" w:pos="3960"/>
          <w:tab w:val="left" w:pos="709" w:leader="none"/>
        </w:tabs>
        <w:spacing w:before="60" w:after="0"/>
        <w:ind w:hanging="357" w:left="714"/>
        <w:rPr>
          <w:rFonts w:ascii="Tahoma" w:hAnsi="Tahoma" w:cs="Tahoma"/>
          <w:sz w:val="22"/>
          <w:szCs w:val="22"/>
        </w:rPr>
      </w:pPr>
      <w:r>
        <w:rPr>
          <w:rFonts w:cs="Tahoma" w:ascii="Tahoma" w:hAnsi="Tahoma"/>
          <w:sz w:val="22"/>
          <w:szCs w:val="22"/>
        </w:rPr>
        <w:t>zajištění vytýčení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zpětného předání jednotlivým správcům,</w:t>
      </w:r>
    </w:p>
    <w:p>
      <w:pPr>
        <w:pStyle w:val="BodyText"/>
        <w:numPr>
          <w:ilvl w:val="0"/>
          <w:numId w:val="2"/>
        </w:numPr>
        <w:tabs>
          <w:tab w:val="clear" w:pos="540"/>
          <w:tab w:val="clear" w:pos="1260"/>
          <w:tab w:val="clear" w:pos="1980"/>
          <w:tab w:val="clear" w:pos="3960"/>
          <w:tab w:val="left" w:pos="709" w:leader="none"/>
        </w:tabs>
        <w:spacing w:before="60" w:after="0"/>
        <w:ind w:hanging="357" w:left="714"/>
        <w:rPr>
          <w:rFonts w:ascii="Tahoma" w:hAnsi="Tahoma" w:cs="Tahoma"/>
          <w:sz w:val="22"/>
          <w:szCs w:val="22"/>
        </w:rPr>
      </w:pPr>
      <w:r>
        <w:rPr>
          <w:rFonts w:cs="Tahoma" w:ascii="Tahoma" w:hAnsi="Tahoma"/>
          <w:sz w:val="22"/>
          <w:szCs w:val="22"/>
        </w:rPr>
        <w:t>předání odpadu k odstranění na řízenou skládku nebo jiný způsob jeho odstranění nebo využití v souladu se zákonem č. 541/2020 Sb., o odpadech, ve znění pozdějších předpisů (dále jen „zákon o odpadech“); o způsobu nakládání s odpadem bude předložen písemný doklad vystavený příslušnou oprávněnou osobou podle zákona o odpadech,</w:t>
      </w:r>
    </w:p>
    <w:p>
      <w:pPr>
        <w:pStyle w:val="BodyText"/>
        <w:numPr>
          <w:ilvl w:val="0"/>
          <w:numId w:val="2"/>
        </w:numPr>
        <w:tabs>
          <w:tab w:val="clear" w:pos="540"/>
          <w:tab w:val="clear" w:pos="1260"/>
          <w:tab w:val="clear" w:pos="1980"/>
          <w:tab w:val="clear" w:pos="3960"/>
          <w:tab w:val="left" w:pos="709" w:leader="none"/>
        </w:tabs>
        <w:spacing w:before="60" w:after="0"/>
        <w:ind w:hanging="357" w:left="714"/>
        <w:rPr>
          <w:rFonts w:ascii="Tahoma" w:hAnsi="Tahoma" w:cs="Tahoma"/>
          <w:sz w:val="22"/>
          <w:szCs w:val="22"/>
        </w:rPr>
      </w:pPr>
      <w:r>
        <w:rPr>
          <w:rFonts w:cs="Tahoma" w:ascii="Tahoma" w:hAnsi="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pPr>
        <w:pStyle w:val="BodyText"/>
        <w:numPr>
          <w:ilvl w:val="0"/>
          <w:numId w:val="2"/>
        </w:numPr>
        <w:tabs>
          <w:tab w:val="clear" w:pos="540"/>
          <w:tab w:val="clear" w:pos="1260"/>
          <w:tab w:val="clear" w:pos="1980"/>
          <w:tab w:val="clear" w:pos="3960"/>
          <w:tab w:val="left" w:pos="709" w:leader="none"/>
        </w:tabs>
        <w:spacing w:before="60" w:after="0"/>
        <w:ind w:hanging="357" w:left="714"/>
        <w:rPr>
          <w:rFonts w:ascii="Tahoma" w:hAnsi="Tahoma" w:cs="Tahoma"/>
          <w:sz w:val="22"/>
          <w:szCs w:val="22"/>
        </w:rPr>
      </w:pPr>
      <w:r>
        <w:rPr>
          <w:rFonts w:cs="Tahoma" w:ascii="Tahoma" w:hAnsi="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 stavebního zákona, bude-li k provedení díla potřebné,</w:t>
      </w:r>
    </w:p>
    <w:p>
      <w:pPr>
        <w:pStyle w:val="BodyText"/>
        <w:numPr>
          <w:ilvl w:val="0"/>
          <w:numId w:val="2"/>
        </w:numPr>
        <w:tabs>
          <w:tab w:val="clear" w:pos="540"/>
          <w:tab w:val="clear" w:pos="1260"/>
          <w:tab w:val="clear" w:pos="1980"/>
          <w:tab w:val="clear" w:pos="3960"/>
          <w:tab w:val="left" w:pos="709" w:leader="none"/>
        </w:tabs>
        <w:spacing w:before="60" w:after="0"/>
        <w:ind w:hanging="357" w:left="714"/>
        <w:rPr>
          <w:rFonts w:ascii="Tahoma" w:hAnsi="Tahoma" w:cs="Tahoma"/>
          <w:sz w:val="22"/>
          <w:szCs w:val="22"/>
        </w:rPr>
      </w:pPr>
      <w:r>
        <w:rPr>
          <w:rFonts w:cs="Tahoma" w:ascii="Tahoma" w:hAnsi="Tahoma"/>
          <w:sz w:val="22"/>
          <w:szCs w:val="22"/>
        </w:rPr>
        <w:t>zřízení deponie materiálů na vymezených plochách tak, aby nevznikly žádné škody na sousedních pozemcích,</w:t>
      </w:r>
    </w:p>
    <w:p>
      <w:pPr>
        <w:pStyle w:val="BodyText"/>
        <w:numPr>
          <w:ilvl w:val="0"/>
          <w:numId w:val="2"/>
        </w:numPr>
        <w:tabs>
          <w:tab w:val="clear" w:pos="540"/>
          <w:tab w:val="clear" w:pos="1260"/>
          <w:tab w:val="clear" w:pos="1980"/>
          <w:tab w:val="clear" w:pos="3960"/>
          <w:tab w:val="left" w:pos="709" w:leader="none"/>
        </w:tabs>
        <w:spacing w:before="60" w:after="0"/>
        <w:ind w:hanging="357" w:left="714"/>
        <w:rPr>
          <w:rFonts w:ascii="Tahoma" w:hAnsi="Tahoma" w:cs="Tahoma"/>
          <w:sz w:val="22"/>
          <w:szCs w:val="22"/>
        </w:rPr>
      </w:pPr>
      <w:r>
        <w:rPr>
          <w:rFonts w:cs="Tahoma" w:ascii="Tahoma" w:hAnsi="Tahoma"/>
          <w:sz w:val="22"/>
          <w:szCs w:val="22"/>
        </w:rPr>
        <w:t>provedení předepsaných zkoušek dle platných právních předpisů a technických norem, úspěšné provedení těchto zkoušek je podmínkou k převzetí díla,</w:t>
      </w:r>
    </w:p>
    <w:p>
      <w:pPr>
        <w:pStyle w:val="BodyText"/>
        <w:numPr>
          <w:ilvl w:val="0"/>
          <w:numId w:val="2"/>
        </w:numPr>
        <w:tabs>
          <w:tab w:val="clear" w:pos="540"/>
          <w:tab w:val="clear" w:pos="1260"/>
          <w:tab w:val="clear" w:pos="1980"/>
          <w:tab w:val="clear" w:pos="3960"/>
          <w:tab w:val="left" w:pos="709" w:leader="none"/>
        </w:tabs>
        <w:spacing w:before="60" w:after="0"/>
        <w:ind w:hanging="357" w:left="714"/>
        <w:rPr>
          <w:rFonts w:ascii="Tahoma" w:hAnsi="Tahoma" w:cs="Tahoma"/>
          <w:sz w:val="22"/>
          <w:szCs w:val="22"/>
        </w:rPr>
      </w:pPr>
      <w:r>
        <w:rPr>
          <w:rFonts w:cs="Tahoma" w:ascii="Tahoma" w:hAnsi="Tahoma"/>
          <w:sz w:val="22"/>
          <w:szCs w:val="22"/>
        </w:rPr>
        <w:t>udržování stavbou dotčených zpevněných ploch, veřejných komunikací a výjezdů ze staveniště v čistotě a jejich uvedení do původního stavu,</w:t>
      </w:r>
    </w:p>
    <w:p>
      <w:pPr>
        <w:pStyle w:val="BodyText"/>
        <w:numPr>
          <w:ilvl w:val="0"/>
          <w:numId w:val="2"/>
        </w:numPr>
        <w:tabs>
          <w:tab w:val="clear" w:pos="540"/>
          <w:tab w:val="clear" w:pos="1260"/>
          <w:tab w:val="clear" w:pos="1980"/>
          <w:tab w:val="clear" w:pos="3960"/>
          <w:tab w:val="left" w:pos="709" w:leader="none"/>
        </w:tabs>
        <w:spacing w:before="60" w:after="0"/>
        <w:ind w:hanging="357" w:left="714"/>
        <w:rPr>
          <w:rFonts w:ascii="Tahoma" w:hAnsi="Tahoma" w:cs="Tahoma"/>
          <w:sz w:val="22"/>
          <w:szCs w:val="22"/>
        </w:rPr>
      </w:pPr>
      <w:r>
        <w:rPr>
          <w:rFonts w:cs="Tahoma" w:ascii="Tahoma" w:hAnsi="Tahoma"/>
          <w:sz w:val="22"/>
          <w:szCs w:val="22"/>
        </w:rPr>
        <w:t>zajištění ochrany proti šíření prašnosti a nadměrného hluku,</w:t>
      </w:r>
    </w:p>
    <w:p>
      <w:pPr>
        <w:pStyle w:val="BodyText"/>
        <w:numPr>
          <w:ilvl w:val="0"/>
          <w:numId w:val="2"/>
        </w:numPr>
        <w:tabs>
          <w:tab w:val="clear" w:pos="540"/>
          <w:tab w:val="clear" w:pos="1260"/>
          <w:tab w:val="clear" w:pos="1980"/>
          <w:tab w:val="clear" w:pos="3960"/>
          <w:tab w:val="left" w:pos="709" w:leader="none"/>
        </w:tabs>
        <w:spacing w:before="60" w:after="0"/>
        <w:ind w:hanging="357" w:left="714"/>
        <w:rPr>
          <w:rFonts w:ascii="Tahoma" w:hAnsi="Tahoma" w:cs="Tahoma"/>
          <w:sz w:val="22"/>
          <w:szCs w:val="22"/>
        </w:rPr>
      </w:pPr>
      <w:r>
        <w:rPr>
          <w:rFonts w:cs="Tahoma" w:ascii="Tahoma" w:hAnsi="Tahoma"/>
          <w:sz w:val="22"/>
          <w:szCs w:val="22"/>
        </w:rPr>
        <w:t>provedení veškerých geodetických prací a případných doplňujících průzkumů souvisejících s provedením díla,</w:t>
      </w:r>
    </w:p>
    <w:p>
      <w:pPr>
        <w:pStyle w:val="BodyText"/>
        <w:numPr>
          <w:ilvl w:val="0"/>
          <w:numId w:val="2"/>
        </w:numPr>
        <w:tabs>
          <w:tab w:val="clear" w:pos="540"/>
          <w:tab w:val="clear" w:pos="1260"/>
          <w:tab w:val="clear" w:pos="1980"/>
          <w:tab w:val="clear" w:pos="3960"/>
          <w:tab w:val="left" w:pos="709" w:leader="none"/>
        </w:tabs>
        <w:spacing w:before="60" w:after="0"/>
        <w:ind w:hanging="357" w:left="714"/>
        <w:rPr>
          <w:rFonts w:ascii="Tahoma" w:hAnsi="Tahoma" w:cs="Tahoma"/>
          <w:sz w:val="22"/>
          <w:szCs w:val="22"/>
        </w:rPr>
      </w:pPr>
      <w:r>
        <w:rPr>
          <w:rFonts w:cs="Tahoma" w:ascii="Tahoma" w:hAnsi="Tahoma"/>
          <w:sz w:val="22"/>
          <w:szCs w:val="22"/>
        </w:rPr>
        <w:t>zajištění zpracování všech případných dalších dokumentací potřebných pro provedení díla (jako je např. výrobní a realizační dodavatelská dokumentace),</w:t>
      </w:r>
    </w:p>
    <w:p>
      <w:pPr>
        <w:pStyle w:val="BodyText"/>
        <w:numPr>
          <w:ilvl w:val="0"/>
          <w:numId w:val="2"/>
        </w:numPr>
        <w:tabs>
          <w:tab w:val="clear" w:pos="540"/>
          <w:tab w:val="clear" w:pos="1260"/>
          <w:tab w:val="clear" w:pos="1980"/>
          <w:tab w:val="clear" w:pos="3960"/>
          <w:tab w:val="left" w:pos="709" w:leader="none"/>
        </w:tabs>
        <w:spacing w:before="60" w:after="0"/>
        <w:ind w:hanging="357" w:left="714"/>
        <w:rPr>
          <w:rFonts w:ascii="Tahoma" w:hAnsi="Tahoma" w:cs="Tahoma"/>
          <w:sz w:val="22"/>
          <w:szCs w:val="22"/>
        </w:rPr>
      </w:pPr>
      <w:r>
        <w:rPr>
          <w:rFonts w:cs="Tahoma" w:ascii="Tahoma" w:hAnsi="Tahoma"/>
          <w:sz w:val="22"/>
          <w:szCs w:val="22"/>
        </w:rPr>
        <w:t>pořizování fotodokumentace o průběhu zhotovení stavby a její předání objednateli při předání</w:t>
      </w:r>
      <w:r>
        <w:rPr>
          <w:rFonts w:cs="Tahoma" w:ascii="Tahoma" w:hAnsi="Tahoma"/>
          <w:i/>
          <w:iCs/>
          <w:sz w:val="22"/>
          <w:szCs w:val="22"/>
        </w:rPr>
        <w:t xml:space="preserve"> </w:t>
      </w:r>
      <w:r>
        <w:rPr>
          <w:rFonts w:cs="Tahoma" w:ascii="Tahoma" w:hAnsi="Tahoma"/>
          <w:sz w:val="22"/>
          <w:szCs w:val="22"/>
        </w:rPr>
        <w:t>a převzetí plnění předmětu smlouvy v digitální podobě na elektronickém nosiči,</w:t>
      </w:r>
    </w:p>
    <w:p>
      <w:pPr>
        <w:pStyle w:val="BodyText"/>
        <w:numPr>
          <w:ilvl w:val="0"/>
          <w:numId w:val="2"/>
        </w:numPr>
        <w:tabs>
          <w:tab w:val="clear" w:pos="540"/>
          <w:tab w:val="clear" w:pos="1260"/>
          <w:tab w:val="clear" w:pos="1980"/>
          <w:tab w:val="clear" w:pos="3960"/>
          <w:tab w:val="left" w:pos="709" w:leader="none"/>
        </w:tabs>
        <w:spacing w:before="60" w:after="0"/>
        <w:ind w:hanging="357" w:left="714"/>
        <w:rPr>
          <w:rFonts w:ascii="Tahoma" w:hAnsi="Tahoma" w:cs="Tahoma"/>
          <w:sz w:val="22"/>
          <w:szCs w:val="22"/>
        </w:rPr>
      </w:pPr>
      <w:r>
        <w:rPr>
          <w:rFonts w:cs="Tahoma" w:ascii="Tahoma" w:hAnsi="Tahoma"/>
          <w:sz w:val="22"/>
          <w:szCs w:val="22"/>
        </w:rPr>
        <w:t>provedení úklidu vnějších a vnitřních ploch dotčených stavbou.</w:t>
      </w:r>
    </w:p>
    <w:p>
      <w:pPr>
        <w:pStyle w:val="Normal"/>
        <w:numPr>
          <w:ilvl w:val="0"/>
          <w:numId w:val="16"/>
        </w:numPr>
        <w:tabs>
          <w:tab w:val="clear" w:pos="709"/>
        </w:tabs>
        <w:spacing w:before="120" w:after="0"/>
        <w:jc w:val="both"/>
        <w:rPr>
          <w:rFonts w:ascii="Tahoma" w:hAnsi="Tahoma" w:cs="Tahoma"/>
          <w:sz w:val="22"/>
          <w:szCs w:val="22"/>
        </w:rPr>
      </w:pPr>
      <w:r>
        <w:rPr>
          <w:rFonts w:cs="Tahoma" w:ascii="Tahoma" w:hAnsi="Tahoma"/>
          <w:sz w:val="22"/>
          <w:szCs w:val="22"/>
        </w:rPr>
        <w:t>Zhotovitel je povinen při provádění díla zejména:</w:t>
      </w:r>
    </w:p>
    <w:p>
      <w:pPr>
        <w:pStyle w:val="BodyText"/>
        <w:numPr>
          <w:ilvl w:val="0"/>
          <w:numId w:val="24"/>
        </w:numPr>
        <w:tabs>
          <w:tab w:val="clear" w:pos="540"/>
          <w:tab w:val="clear" w:pos="1260"/>
          <w:tab w:val="clear" w:pos="1980"/>
          <w:tab w:val="clear" w:pos="3960"/>
          <w:tab w:val="left" w:pos="714" w:leader="none"/>
        </w:tabs>
        <w:spacing w:before="60" w:after="0"/>
        <w:ind w:hanging="357" w:left="714"/>
        <w:rPr>
          <w:rFonts w:ascii="Tahoma" w:hAnsi="Tahoma" w:cs="Tahoma"/>
          <w:sz w:val="22"/>
          <w:szCs w:val="22"/>
        </w:rPr>
      </w:pPr>
      <w:r>
        <w:rPr>
          <w:rFonts w:cs="Tahoma" w:ascii="Tahoma" w:hAnsi="Tahoma"/>
          <w:sz w:val="22"/>
          <w:szCs w:val="22"/>
        </w:rPr>
        <w:t>plnit podmínky příslušných stavebních povolení či jiných rozhodnutí nebo opatření stavebních úřadů a požadavky dotčených orgánů a organizací související s realizací stavby,</w:t>
      </w:r>
    </w:p>
    <w:p>
      <w:pPr>
        <w:pStyle w:val="BodyText"/>
        <w:numPr>
          <w:ilvl w:val="0"/>
          <w:numId w:val="24"/>
        </w:numPr>
        <w:tabs>
          <w:tab w:val="clear" w:pos="540"/>
          <w:tab w:val="clear" w:pos="1260"/>
          <w:tab w:val="clear" w:pos="1980"/>
          <w:tab w:val="clear" w:pos="3960"/>
          <w:tab w:val="left" w:pos="714" w:leader="none"/>
        </w:tabs>
        <w:spacing w:before="60" w:after="0"/>
        <w:ind w:hanging="357" w:left="714"/>
        <w:rPr>
          <w:rFonts w:ascii="Tahoma" w:hAnsi="Tahoma" w:cs="Tahoma"/>
          <w:sz w:val="22"/>
          <w:szCs w:val="22"/>
        </w:rPr>
      </w:pPr>
      <w:r>
        <w:rPr>
          <w:rFonts w:cs="Tahoma" w:ascii="Tahoma" w:hAnsi="Tahoma"/>
          <w:sz w:val="22"/>
          <w:szCs w:val="22"/>
        </w:rPr>
        <w:t>zohlednit vyjádření dotčených orgánů a organizací související s realizací stavby.</w:t>
      </w:r>
    </w:p>
    <w:p>
      <w:pPr>
        <w:pStyle w:val="Normal"/>
        <w:numPr>
          <w:ilvl w:val="0"/>
          <w:numId w:val="16"/>
        </w:numPr>
        <w:tabs>
          <w:tab w:val="clear" w:pos="709"/>
        </w:tabs>
        <w:spacing w:before="120" w:after="0"/>
        <w:jc w:val="both"/>
        <w:rPr>
          <w:rFonts w:ascii="Tahoma" w:hAnsi="Tahoma" w:cs="Tahoma"/>
          <w:sz w:val="22"/>
          <w:szCs w:val="22"/>
        </w:rPr>
      </w:pPr>
      <w:r>
        <w:rPr>
          <w:rFonts w:cs="Tahoma" w:ascii="Tahoma" w:hAnsi="Tahoma"/>
          <w:sz w:val="22"/>
          <w:szCs w:val="22"/>
        </w:rPr>
        <w:t>Zhotovitel se zavazuje provést dílo v souladu s technickými a právními předpisy platnými v České republice v době provádění díla. Pro provedení díla jsou závazné všechny platné normy ČSN.</w:t>
      </w:r>
    </w:p>
    <w:p>
      <w:pPr>
        <w:pStyle w:val="Normal"/>
        <w:numPr>
          <w:ilvl w:val="0"/>
          <w:numId w:val="16"/>
        </w:numPr>
        <w:tabs>
          <w:tab w:val="clear" w:pos="709"/>
        </w:tabs>
        <w:spacing w:before="120" w:after="0"/>
        <w:jc w:val="both"/>
        <w:rPr>
          <w:rFonts w:ascii="Tahoma" w:hAnsi="Tahoma" w:cs="Tahoma"/>
          <w:sz w:val="22"/>
          <w:szCs w:val="22"/>
        </w:rPr>
      </w:pPr>
      <w:r>
        <w:rPr>
          <w:rFonts w:cs="Tahoma" w:ascii="Tahoma" w:hAnsi="Tahoma"/>
          <w:sz w:val="22"/>
          <w:szCs w:val="22"/>
        </w:rPr>
        <w:t>Zhotovitel se zavazuje průběžně provádět veškeré potřebné zkoušky, měření a atesty k prokázání kvalitativních parametrů předmětu díla.</w:t>
      </w:r>
    </w:p>
    <w:p>
      <w:pPr>
        <w:pStyle w:val="Normal"/>
        <w:numPr>
          <w:ilvl w:val="0"/>
          <w:numId w:val="16"/>
        </w:numPr>
        <w:tabs>
          <w:tab w:val="clear" w:pos="709"/>
        </w:tabs>
        <w:spacing w:before="120" w:after="0"/>
        <w:jc w:val="both"/>
        <w:rPr>
          <w:rFonts w:ascii="Tahoma" w:hAnsi="Tahoma" w:cs="Tahoma"/>
          <w:sz w:val="22"/>
          <w:szCs w:val="22"/>
        </w:rPr>
      </w:pPr>
      <w:r>
        <w:rPr>
          <w:rFonts w:cs="Tahoma" w:ascii="Tahoma" w:hAnsi="Tahoma"/>
          <w:sz w:val="22"/>
          <w:szCs w:val="22"/>
        </w:rPr>
        <w:t>Zhotovitel se zavazuje provést veškeré činnosti a úkony související s provedením díla nutné pro vydání uvedení do užívání, zejména vyřizování veškerých povolení, překopů, záborů, souhlasů, oznámení apod.</w:t>
      </w:r>
    </w:p>
    <w:p>
      <w:pPr>
        <w:pStyle w:val="Normal"/>
        <w:numPr>
          <w:ilvl w:val="0"/>
          <w:numId w:val="16"/>
        </w:numPr>
        <w:tabs>
          <w:tab w:val="clear" w:pos="709"/>
        </w:tabs>
        <w:spacing w:before="120" w:after="0"/>
        <w:jc w:val="both"/>
        <w:rPr>
          <w:rFonts w:ascii="Tahoma" w:hAnsi="Tahoma" w:cs="Tahoma"/>
          <w:sz w:val="22"/>
          <w:szCs w:val="22"/>
        </w:rPr>
      </w:pPr>
      <w:r>
        <w:rPr>
          <w:rFonts w:cs="Tahoma" w:ascii="Tahoma" w:hAnsi="Tahoma"/>
          <w:sz w:val="22"/>
          <w:szCs w:val="22"/>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pPr>
        <w:pStyle w:val="Normal"/>
        <w:numPr>
          <w:ilvl w:val="0"/>
          <w:numId w:val="16"/>
        </w:numPr>
        <w:tabs>
          <w:tab w:val="clear" w:pos="709"/>
        </w:tabs>
        <w:spacing w:before="120" w:after="0"/>
        <w:jc w:val="both"/>
        <w:rPr>
          <w:rFonts w:ascii="Tahoma" w:hAnsi="Tahoma" w:cs="Tahoma"/>
          <w:sz w:val="22"/>
          <w:szCs w:val="22"/>
        </w:rPr>
      </w:pPr>
      <w:r>
        <w:rPr>
          <w:rFonts w:cs="Tahoma" w:ascii="Tahoma" w:hAnsi="Tahoma"/>
          <w:sz w:val="22"/>
          <w:szCs w:val="22"/>
        </w:rPr>
        <w:t>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pPr>
        <w:pStyle w:val="Normal"/>
        <w:keepNext w:val="true"/>
        <w:spacing w:before="360" w:after="0"/>
        <w:jc w:val="center"/>
        <w:rPr>
          <w:rFonts w:ascii="Tahoma" w:hAnsi="Tahoma" w:cs="Tahoma"/>
          <w:b/>
          <w:sz w:val="22"/>
          <w:szCs w:val="22"/>
        </w:rPr>
      </w:pPr>
      <w:r>
        <w:rPr>
          <w:rFonts w:cs="Tahoma" w:ascii="Tahoma" w:hAnsi="Tahoma"/>
          <w:b/>
          <w:sz w:val="22"/>
          <w:szCs w:val="22"/>
        </w:rPr>
        <w:t>IV.</w:t>
        <w:br/>
        <w:t>Doba a místo plnění</w:t>
      </w:r>
    </w:p>
    <w:p>
      <w:pPr>
        <w:pStyle w:val="Normal"/>
        <w:widowControl w:val="false"/>
        <w:numPr>
          <w:ilvl w:val="0"/>
          <w:numId w:val="17"/>
        </w:numPr>
        <w:tabs>
          <w:tab w:val="clear" w:pos="709"/>
        </w:tabs>
        <w:spacing w:before="120" w:after="0"/>
        <w:ind w:hanging="357" w:left="357"/>
        <w:jc w:val="both"/>
        <w:rPr>
          <w:rFonts w:ascii="Tahoma" w:hAnsi="Tahoma" w:cs="Tahoma"/>
          <w:iCs/>
          <w:sz w:val="22"/>
          <w:szCs w:val="22"/>
        </w:rPr>
      </w:pPr>
      <w:r>
        <w:rPr>
          <w:rFonts w:cs="Tahoma" w:ascii="Tahoma" w:hAnsi="Tahoma"/>
          <w:bCs/>
          <w:sz w:val="22"/>
          <w:szCs w:val="22"/>
        </w:rPr>
        <w:t>Zhotov</w:t>
      </w:r>
      <w:r>
        <w:rPr>
          <w:rFonts w:cs="Tahoma" w:ascii="Tahoma" w:hAnsi="Tahoma"/>
          <w:sz w:val="22"/>
          <w:szCs w:val="22"/>
        </w:rPr>
        <w:t>itel</w:t>
      </w:r>
      <w:r>
        <w:rPr>
          <w:rFonts w:cs="Tahoma" w:ascii="Tahoma" w:hAnsi="Tahoma"/>
          <w:b/>
          <w:sz w:val="22"/>
          <w:szCs w:val="22"/>
        </w:rPr>
        <w:t xml:space="preserve"> </w:t>
      </w:r>
      <w:r>
        <w:rPr>
          <w:rFonts w:cs="Tahoma" w:ascii="Tahoma" w:hAnsi="Tahoma"/>
          <w:sz w:val="22"/>
          <w:szCs w:val="22"/>
        </w:rPr>
        <w:t>se zavazuje provést dílo d</w:t>
      </w:r>
      <w:r>
        <w:rPr>
          <w:rFonts w:cs="Tahoma" w:ascii="Tahoma" w:hAnsi="Tahoma"/>
          <w:sz w:val="22"/>
          <w:szCs w:val="22"/>
          <w:shd w:fill="auto" w:val="clear"/>
        </w:rPr>
        <w:t>o </w:t>
      </w:r>
      <w:r>
        <w:rPr>
          <w:rFonts w:cs="Tahoma" w:ascii="Tahoma" w:hAnsi="Tahoma"/>
          <w:sz w:val="22"/>
          <w:szCs w:val="22"/>
          <w:shd w:fill="auto" w:val="clear"/>
        </w:rPr>
        <w:t>15</w:t>
      </w:r>
      <w:r>
        <w:rPr>
          <w:rFonts w:cs="Tahoma" w:ascii="Tahoma" w:hAnsi="Tahoma"/>
          <w:sz w:val="22"/>
          <w:szCs w:val="22"/>
          <w:shd w:fill="auto" w:val="clear"/>
        </w:rPr>
        <w:t>0 d</w:t>
      </w:r>
      <w:r>
        <w:rPr>
          <w:rFonts w:cs="Tahoma" w:ascii="Tahoma" w:hAnsi="Tahoma"/>
          <w:sz w:val="22"/>
          <w:szCs w:val="22"/>
        </w:rPr>
        <w:t>nů od předání staveniště zhotoviteli a nejpozději poslední den doby plnění dokončené dílo zahájit předávací řízení dokončeného díla objednateli. Dílo je provedeno, je</w:t>
        <w:noBreakHyphen/>
        <w:t xml:space="preserve">li dokončeno (tj. objednateli je předvedena způsobilost díla sloužit svému účelu) a předáno objednateli. </w:t>
      </w:r>
    </w:p>
    <w:p>
      <w:pPr>
        <w:pStyle w:val="Normal"/>
        <w:widowControl w:val="false"/>
        <w:numPr>
          <w:ilvl w:val="0"/>
          <w:numId w:val="17"/>
        </w:numPr>
        <w:tabs>
          <w:tab w:val="clear" w:pos="709"/>
        </w:tabs>
        <w:spacing w:before="120" w:after="0"/>
        <w:ind w:hanging="357" w:left="357"/>
        <w:jc w:val="both"/>
        <w:rPr>
          <w:rFonts w:ascii="Tahoma" w:hAnsi="Tahoma" w:cs="Tahoma"/>
          <w:bCs/>
          <w:sz w:val="22"/>
          <w:szCs w:val="22"/>
        </w:rPr>
      </w:pPr>
      <w:r>
        <w:rPr>
          <w:rFonts w:cs="Tahoma" w:ascii="Tahoma" w:hAnsi="Tahoma"/>
          <w:bCs/>
          <w:sz w:val="22"/>
          <w:szCs w:val="22"/>
        </w:rPr>
        <w:t xml:space="preserve">Místem plnění jsou parcely č. </w:t>
      </w:r>
      <w:r>
        <w:rPr>
          <w:rFonts w:cs="Tahoma" w:ascii="Tahoma" w:hAnsi="Tahoma"/>
          <w:bCs/>
          <w:sz w:val="22"/>
          <w:szCs w:val="22"/>
          <w:shd w:fill="auto" w:val="clear"/>
        </w:rPr>
        <w:t xml:space="preserve">873/1, 873/7, 876/1, 37, </w:t>
      </w:r>
      <w:r>
        <w:rPr>
          <w:rFonts w:cs="Tahoma" w:ascii="Tahoma" w:hAnsi="Tahoma"/>
          <w:bCs/>
          <w:sz w:val="22"/>
          <w:szCs w:val="22"/>
          <w:shd w:fill="auto" w:val="clear"/>
        </w:rPr>
        <w:t xml:space="preserve">45/88, 45/1, 45/61, 45/5, 45/50, 45/62, 45/67, 45/51, 45/82, 45/80, 45/8, </w:t>
      </w:r>
      <w:r>
        <w:rPr>
          <w:rFonts w:cs="Tahoma" w:ascii="Tahoma" w:hAnsi="Tahoma"/>
          <w:bCs/>
          <w:sz w:val="22"/>
          <w:szCs w:val="22"/>
          <w:shd w:fill="auto" w:val="clear"/>
        </w:rPr>
        <w:t>vše obec Horní Bludovice, k.ú. Prostřední Bludovice [642410].</w:t>
      </w:r>
    </w:p>
    <w:p>
      <w:pPr>
        <w:pStyle w:val="Smlouva-slo1"/>
        <w:widowControl/>
        <w:numPr>
          <w:ilvl w:val="0"/>
          <w:numId w:val="17"/>
        </w:numPr>
        <w:spacing w:lineRule="auto" w:line="240"/>
        <w:rPr>
          <w:rFonts w:ascii="Tahoma" w:hAnsi="Tahoma" w:cs="Tahoma"/>
          <w:sz w:val="22"/>
          <w:szCs w:val="22"/>
        </w:rPr>
      </w:pPr>
      <w:r>
        <w:rPr>
          <w:rFonts w:cs="Tahoma" w:ascii="Tahoma" w:hAnsi="Tahoma"/>
          <w:sz w:val="22"/>
          <w:szCs w:val="22"/>
        </w:rPr>
        <w:t>V </w:t>
      </w:r>
      <w:r>
        <w:rPr>
          <w:rFonts w:cs="Tahoma" w:ascii="Tahoma" w:hAnsi="Tahoma"/>
          <w:bCs/>
          <w:sz w:val="22"/>
          <w:szCs w:val="22"/>
        </w:rPr>
        <w:t>souladu</w:t>
      </w:r>
      <w:r>
        <w:rPr>
          <w:rFonts w:cs="Tahoma" w:ascii="Tahoma" w:hAnsi="Tahoma"/>
          <w:sz w:val="22"/>
          <w:szCs w:val="22"/>
        </w:rPr>
        <w:t xml:space="preserve"> s § 100 odst. 1 ZZVZ si objednatel vyhrazuje právo po dobu trvání překážky přerušit plnění předmětu této smlouvy a zastavit běh doby plnění dle odst. 1 tohoto článku smlouvy, a to v těchto případech:</w:t>
      </w:r>
    </w:p>
    <w:p>
      <w:pPr>
        <w:pStyle w:val="Smlouva-slo1"/>
        <w:widowControl/>
        <w:numPr>
          <w:ilvl w:val="0"/>
          <w:numId w:val="31"/>
        </w:numPr>
        <w:spacing w:lineRule="auto" w:line="240"/>
        <w:rPr>
          <w:rFonts w:ascii="Tahoma" w:hAnsi="Tahoma" w:cs="Tahoma"/>
          <w:sz w:val="22"/>
          <w:szCs w:val="22"/>
        </w:rPr>
      </w:pPr>
      <w:r>
        <w:rPr>
          <w:rFonts w:cs="Tahoma" w:ascii="Tahoma" w:hAnsi="Tahoma"/>
          <w:sz w:val="22"/>
          <w:szCs w:val="22"/>
        </w:rPr>
        <w:t>omezení postupu prací vlivem nepříznivých klimatických podmínek, tj. v případě, že nebude zjevně možné vlivem klimatických podmínek pokračovat v pracích dle harmonogramu výstavby, aniž by došlo k porušení právních/bezpečnostních předpisů nebo technických/technologických norem.</w:t>
      </w:r>
    </w:p>
    <w:p>
      <w:pPr>
        <w:pStyle w:val="Smlouva-slo1"/>
        <w:numPr>
          <w:ilvl w:val="0"/>
          <w:numId w:val="31"/>
        </w:numPr>
        <w:rPr>
          <w:rFonts w:ascii="Tahoma" w:hAnsi="Tahoma" w:cs="Tahoma"/>
          <w:sz w:val="22"/>
          <w:szCs w:val="22"/>
        </w:rPr>
      </w:pPr>
      <w:r>
        <w:rPr>
          <w:rFonts w:cs="Tahoma" w:ascii="Tahoma" w:hAnsi="Tahoma"/>
          <w:sz w:val="22"/>
          <w:szCs w:val="22"/>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 </w:t>
      </w:r>
    </w:p>
    <w:p>
      <w:pPr>
        <w:pStyle w:val="Smlouva-slo1"/>
        <w:widowControl/>
        <w:spacing w:lineRule="auto" w:line="240"/>
        <w:ind w:left="340"/>
        <w:rPr>
          <w:rFonts w:ascii="Tahoma" w:hAnsi="Tahoma" w:cs="Tahoma"/>
          <w:sz w:val="22"/>
          <w:szCs w:val="22"/>
        </w:rPr>
      </w:pPr>
      <w:r>
        <w:rPr>
          <w:rFonts w:cs="Tahoma" w:ascii="Tahoma" w:hAnsi="Tahoma"/>
          <w:sz w:val="22"/>
          <w:szCs w:val="22"/>
        </w:rPr>
        <w:t xml:space="preserve">V  těchto případech bude se zhotovitelem jednáno o možnosti stavění běhu doby plnění dle odst. 1 tohoto článku smlouvy. </w:t>
      </w:r>
      <w:r>
        <w:rPr>
          <w:rStyle w:val="normaltextrun"/>
          <w:rFonts w:cs="Tahoma" w:ascii="Tahoma" w:hAnsi="Tahoma"/>
          <w:sz w:val="22"/>
          <w:szCs w:val="22"/>
        </w:rPr>
        <w:t xml:space="preserve">Omezení postupu prací dle tohoto odstavce bude posuzováno ve vztahu k možnosti provádění díla dle předepsaných technologických postupů. </w:t>
      </w:r>
      <w:r>
        <w:rPr>
          <w:rFonts w:cs="Tahoma" w:ascii="Tahoma" w:hAnsi="Tahoma"/>
          <w:sz w:val="22"/>
          <w:szCs w:val="22"/>
        </w:rPr>
        <w:t>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za každou smluvní stranu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pPr>
        <w:pStyle w:val="Smlouva-slo1"/>
        <w:widowControl/>
        <w:numPr>
          <w:ilvl w:val="0"/>
          <w:numId w:val="17"/>
        </w:numPr>
        <w:spacing w:lineRule="auto" w:line="240"/>
        <w:rPr>
          <w:rFonts w:ascii="Tahoma" w:hAnsi="Tahoma" w:cs="Tahoma"/>
          <w:sz w:val="22"/>
          <w:szCs w:val="22"/>
        </w:rPr>
      </w:pPr>
      <w:r>
        <w:rPr>
          <w:rStyle w:val="normaltextrun"/>
          <w:rFonts w:cs="Tahoma" w:ascii="Tahoma" w:hAnsi="Tahoma"/>
          <w:color w:themeColor="text1" w:val="000000"/>
          <w:sz w:val="22"/>
          <w:szCs w:val="22"/>
        </w:rPr>
        <w:t>V případě, že koordinátor bezpečnosti a ochrany zdraví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pPr>
        <w:pStyle w:val="Normal"/>
        <w:keepNext w:val="true"/>
        <w:spacing w:before="360" w:after="0"/>
        <w:jc w:val="center"/>
        <w:rPr>
          <w:rFonts w:ascii="Tahoma" w:hAnsi="Tahoma" w:cs="Tahoma"/>
          <w:b/>
          <w:sz w:val="22"/>
          <w:szCs w:val="22"/>
        </w:rPr>
      </w:pPr>
      <w:r>
        <w:rPr>
          <w:rFonts w:cs="Tahoma" w:ascii="Tahoma" w:hAnsi="Tahoma"/>
          <w:b/>
          <w:sz w:val="22"/>
          <w:szCs w:val="22"/>
        </w:rPr>
        <w:t>V.</w:t>
        <w:br/>
        <w:t>Cena za dílo</w:t>
      </w:r>
    </w:p>
    <w:p>
      <w:pPr>
        <w:pStyle w:val="Normal"/>
        <w:numPr>
          <w:ilvl w:val="0"/>
          <w:numId w:val="18"/>
        </w:numPr>
        <w:tabs>
          <w:tab w:val="clear" w:pos="709"/>
        </w:tabs>
        <w:spacing w:before="120" w:after="240"/>
        <w:ind w:hanging="357" w:left="357"/>
        <w:jc w:val="both"/>
        <w:rPr>
          <w:rFonts w:ascii="Tahoma" w:hAnsi="Tahoma" w:cs="Tahoma"/>
          <w:sz w:val="22"/>
          <w:szCs w:val="22"/>
        </w:rPr>
      </w:pPr>
      <w:r>
        <w:rPr>
          <w:rFonts w:cs="Tahoma" w:ascii="Tahoma" w:hAnsi="Tahoma"/>
          <w:sz w:val="22"/>
          <w:szCs w:val="22"/>
        </w:rPr>
        <w:t>Cena za provedené dílo je stanovena dohodou smluvních stran a činí:</w:t>
      </w:r>
    </w:p>
    <w:p>
      <w:pPr>
        <w:pStyle w:val="ListParagraph"/>
        <w:tabs>
          <w:tab w:val="clear" w:pos="709"/>
          <w:tab w:val="left" w:pos="3402" w:leader="none"/>
        </w:tabs>
        <w:spacing w:before="120" w:after="0"/>
        <w:ind w:left="397"/>
        <w:contextualSpacing/>
        <w:jc w:val="both"/>
        <w:rPr>
          <w:rFonts w:ascii="Tahoma" w:hAnsi="Tahoma" w:cs="Tahoma"/>
          <w:b/>
          <w:sz w:val="22"/>
          <w:szCs w:val="22"/>
        </w:rPr>
      </w:pPr>
      <w:r>
        <w:rPr>
          <w:rFonts w:cs="Tahoma" w:ascii="Tahoma" w:hAnsi="Tahoma"/>
          <w:sz w:val="22"/>
          <w:szCs w:val="22"/>
        </w:rPr>
        <w:t>Cena bez DPH</w:t>
        <w:tab/>
        <w:t>………………</w:t>
      </w:r>
      <w:r>
        <w:rPr>
          <w:rFonts w:cs="Tahoma" w:ascii="Tahoma" w:hAnsi="Tahoma"/>
          <w:b/>
          <w:sz w:val="22"/>
          <w:szCs w:val="22"/>
        </w:rPr>
        <w:t> Kč</w:t>
      </w:r>
    </w:p>
    <w:p>
      <w:pPr>
        <w:pStyle w:val="ListParagraph"/>
        <w:tabs>
          <w:tab w:val="clear" w:pos="709"/>
          <w:tab w:val="left" w:pos="3402" w:leader="none"/>
        </w:tabs>
        <w:spacing w:before="120" w:after="0"/>
        <w:ind w:left="397"/>
        <w:contextualSpacing/>
        <w:jc w:val="both"/>
        <w:rPr>
          <w:rFonts w:ascii="Tahoma" w:hAnsi="Tahoma" w:cs="Tahoma"/>
          <w:b/>
          <w:sz w:val="22"/>
          <w:szCs w:val="22"/>
        </w:rPr>
      </w:pPr>
      <w:r>
        <w:rPr>
          <w:rFonts w:cs="Tahoma" w:ascii="Tahoma" w:hAnsi="Tahoma"/>
          <w:sz w:val="22"/>
          <w:szCs w:val="22"/>
        </w:rPr>
        <w:t>DPH</w:t>
        <w:tab/>
        <w:t>………………</w:t>
      </w:r>
      <w:r>
        <w:rPr>
          <w:rFonts w:cs="Tahoma" w:ascii="Tahoma" w:hAnsi="Tahoma"/>
          <w:b/>
          <w:sz w:val="22"/>
          <w:szCs w:val="22"/>
        </w:rPr>
        <w:t> Kč</w:t>
      </w:r>
    </w:p>
    <w:p>
      <w:pPr>
        <w:pStyle w:val="ListParagraph"/>
        <w:tabs>
          <w:tab w:val="clear" w:pos="709"/>
          <w:tab w:val="left" w:pos="3402" w:leader="none"/>
        </w:tabs>
        <w:spacing w:before="120" w:after="0"/>
        <w:ind w:left="397"/>
        <w:contextualSpacing/>
        <w:jc w:val="both"/>
        <w:rPr>
          <w:rFonts w:ascii="Tahoma" w:hAnsi="Tahoma" w:cs="Tahoma"/>
          <w:b/>
          <w:sz w:val="22"/>
          <w:szCs w:val="22"/>
        </w:rPr>
      </w:pPr>
      <w:r>
        <w:rPr>
          <w:rFonts w:cs="Tahoma" w:ascii="Tahoma" w:hAnsi="Tahoma"/>
          <w:sz w:val="22"/>
          <w:szCs w:val="22"/>
        </w:rPr>
        <w:t>Cena vč. DPH</w:t>
        <w:tab/>
        <w:t>………………</w:t>
      </w:r>
      <w:r>
        <w:rPr>
          <w:rFonts w:cs="Tahoma" w:ascii="Tahoma" w:hAnsi="Tahoma"/>
          <w:b/>
          <w:sz w:val="22"/>
          <w:szCs w:val="22"/>
        </w:rPr>
        <w:t> Kč</w:t>
      </w:r>
    </w:p>
    <w:p>
      <w:pPr>
        <w:pStyle w:val="Normal"/>
        <w:tabs>
          <w:tab w:val="clear" w:pos="709"/>
          <w:tab w:val="left" w:pos="426" w:leader="none"/>
        </w:tabs>
        <w:spacing w:before="120" w:after="0"/>
        <w:ind w:hanging="1770" w:left="2127"/>
        <w:jc w:val="both"/>
        <w:rPr>
          <w:rFonts w:ascii="Tahoma" w:hAnsi="Tahoma" w:cs="Tahoma"/>
          <w:i/>
          <w:iCs/>
          <w:sz w:val="22"/>
          <w:szCs w:val="22"/>
        </w:rPr>
      </w:pPr>
      <w:r>
        <w:rPr>
          <w:rFonts w:cs="Tahoma" w:ascii="Tahoma" w:hAnsi="Tahoma"/>
          <w:sz w:val="22"/>
          <w:szCs w:val="22"/>
        </w:rPr>
        <w:t>Souhrnný rozpočet je nedílnou přílohou č. 1 této smlouvy</w:t>
      </w:r>
      <w:r>
        <w:rPr>
          <w:rStyle w:val="normaltextrun"/>
          <w:rFonts w:cs="Tahoma" w:ascii="Tahoma" w:hAnsi="Tahoma"/>
          <w:sz w:val="22"/>
          <w:szCs w:val="22"/>
        </w:rPr>
        <w:t>.</w:t>
      </w:r>
    </w:p>
    <w:p>
      <w:pPr>
        <w:pStyle w:val="Normal"/>
        <w:numPr>
          <w:ilvl w:val="0"/>
          <w:numId w:val="18"/>
        </w:numPr>
        <w:tabs>
          <w:tab w:val="clear" w:pos="709"/>
        </w:tabs>
        <w:spacing w:before="120" w:after="0"/>
        <w:ind w:hanging="357" w:left="357"/>
        <w:jc w:val="both"/>
        <w:rPr>
          <w:rFonts w:ascii="Tahoma" w:hAnsi="Tahoma" w:cs="Tahoma"/>
          <w:sz w:val="22"/>
          <w:szCs w:val="22"/>
        </w:rPr>
      </w:pPr>
      <w:r>
        <w:rPr>
          <w:rFonts w:cs="Tahoma" w:ascii="Tahoma" w:hAnsi="Tahoma"/>
          <w:sz w:val="22"/>
          <w:szCs w:val="22"/>
        </w:rPr>
        <w:t>Součástí sjednané ceny jsou veškeré práce a dodávky, poplatky, náklady zhotovitele nutné pro vybudování, provoz a demontáž zařízení staveniště vč. případných poplatků a nájmů za dočasné zábory sousedních pozemků a jiné náklady nezbytné pro řádné a úplné provedení díla.</w:t>
      </w:r>
    </w:p>
    <w:p>
      <w:pPr>
        <w:pStyle w:val="Normal"/>
        <w:numPr>
          <w:ilvl w:val="0"/>
          <w:numId w:val="18"/>
        </w:numPr>
        <w:tabs>
          <w:tab w:val="clear" w:pos="709"/>
        </w:tabs>
        <w:spacing w:before="120" w:after="0"/>
        <w:ind w:hanging="357" w:left="357"/>
        <w:jc w:val="both"/>
        <w:rPr>
          <w:rFonts w:ascii="Tahoma" w:hAnsi="Tahoma" w:cs="Tahoma"/>
          <w:sz w:val="22"/>
          <w:szCs w:val="22"/>
        </w:rPr>
      </w:pPr>
      <w:r>
        <w:rPr>
          <w:rFonts w:cs="Tahoma" w:ascii="Tahoma" w:hAnsi="Tahoma"/>
          <w:sz w:val="22"/>
          <w:szCs w:val="22"/>
        </w:rPr>
        <w:t>Cena za dílo uvedená v odst. 1 tohoto článku smlouvy je cenou nejvýše přípustnou a lze ji změnit pouze v případě:</w:t>
      </w:r>
    </w:p>
    <w:p>
      <w:pPr>
        <w:pStyle w:val="Normal"/>
        <w:spacing w:before="120" w:after="0"/>
        <w:ind w:left="510"/>
        <w:jc w:val="both"/>
        <w:rPr>
          <w:rFonts w:ascii="Tahoma" w:hAnsi="Tahoma" w:cs="Tahoma"/>
          <w:b/>
          <w:sz w:val="22"/>
          <w:szCs w:val="22"/>
        </w:rPr>
      </w:pPr>
      <w:r>
        <w:rPr>
          <w:rFonts w:cs="Tahoma" w:ascii="Tahoma" w:hAnsi="Tahoma"/>
          <w:b/>
          <w:sz w:val="22"/>
          <w:szCs w:val="22"/>
        </w:rPr>
        <w:t>MÉNĚPRACÍ</w:t>
      </w:r>
    </w:p>
    <w:p>
      <w:pPr>
        <w:pStyle w:val="Normal"/>
        <w:numPr>
          <w:ilvl w:val="0"/>
          <w:numId w:val="29"/>
        </w:numPr>
        <w:spacing w:before="120" w:after="0"/>
        <w:jc w:val="both"/>
        <w:rPr>
          <w:rFonts w:ascii="Tahoma" w:hAnsi="Tahoma" w:cs="Tahoma"/>
          <w:sz w:val="22"/>
          <w:szCs w:val="22"/>
        </w:rPr>
      </w:pPr>
      <w:r>
        <w:rPr>
          <w:rFonts w:cs="Tahoma" w:ascii="Tahoma" w:hAnsi="Tahoma"/>
          <w:sz w:val="22"/>
          <w:szCs w:val="22"/>
        </w:rPr>
        <w:t>nebude</w:t>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pPr>
        <w:pStyle w:val="Normal"/>
        <w:spacing w:before="120" w:after="0"/>
        <w:ind w:left="510"/>
        <w:jc w:val="both"/>
        <w:rPr>
          <w:rFonts w:ascii="Tahoma" w:hAnsi="Tahoma" w:cs="Tahoma"/>
          <w:b/>
          <w:sz w:val="22"/>
          <w:szCs w:val="22"/>
        </w:rPr>
      </w:pPr>
      <w:r>
        <w:rPr>
          <w:rFonts w:cs="Tahoma" w:ascii="Tahoma" w:hAnsi="Tahoma"/>
          <w:b/>
          <w:sz w:val="22"/>
          <w:szCs w:val="22"/>
        </w:rPr>
        <w:t>VÍCEPRACÍ</w:t>
      </w:r>
    </w:p>
    <w:p>
      <w:pPr>
        <w:pStyle w:val="Normal"/>
        <w:numPr>
          <w:ilvl w:val="0"/>
          <w:numId w:val="29"/>
        </w:numPr>
        <w:spacing w:before="120" w:after="0"/>
        <w:jc w:val="both"/>
        <w:rPr>
          <w:rFonts w:ascii="Tahoma" w:hAnsi="Tahoma" w:cs="Tahoma"/>
          <w:sz w:val="22"/>
          <w:szCs w:val="22"/>
        </w:rPr>
      </w:pPr>
      <w:r>
        <w:rPr>
          <w:rFonts w:cs="Tahoma" w:ascii="Tahoma" w:hAnsi="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pPr>
        <w:pStyle w:val="Normal"/>
        <w:numPr>
          <w:ilvl w:val="0"/>
          <w:numId w:val="30"/>
        </w:numPr>
        <w:spacing w:before="120" w:after="0"/>
        <w:jc w:val="both"/>
        <w:rPr>
          <w:rFonts w:ascii="Tahoma" w:hAnsi="Tahoma" w:cs="Tahoma"/>
          <w:sz w:val="22"/>
          <w:szCs w:val="22"/>
        </w:rPr>
      </w:pPr>
      <w:r>
        <w:rPr>
          <w:rFonts w:cs="Tahoma" w:ascii="Tahoma" w:hAnsi="Tahoma"/>
          <w:sz w:val="22"/>
          <w:szCs w:val="22"/>
          <w:u w:val="single"/>
        </w:rPr>
        <w:t>pro položky vyskytující se v soupise prací, tzv. existující položky (např. v rámci víceprací se nárokuje větší množství výměry)</w:t>
      </w:r>
      <w:r>
        <w:rPr>
          <w:rFonts w:cs="Tahoma" w:ascii="Tahoma" w:hAnsi="Tahoma"/>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w:t>
      </w:r>
    </w:p>
    <w:p>
      <w:pPr>
        <w:pStyle w:val="Normal"/>
        <w:numPr>
          <w:ilvl w:val="0"/>
          <w:numId w:val="30"/>
        </w:numPr>
        <w:spacing w:before="120" w:after="0"/>
        <w:jc w:val="both"/>
        <w:rPr>
          <w:rFonts w:ascii="Tahoma" w:hAnsi="Tahoma" w:cs="Tahoma"/>
          <w:sz w:val="22"/>
          <w:szCs w:val="22"/>
        </w:rPr>
      </w:pPr>
      <w:r>
        <w:rPr>
          <w:rFonts w:cs="Tahoma" w:ascii="Tahoma" w:hAnsi="Tahoma"/>
          <w:sz w:val="22"/>
          <w:szCs w:val="22"/>
          <w:u w:val="single"/>
        </w:rPr>
        <w:t>pro položky tzv. nové, které se nevyskytují v soupise prací,</w:t>
      </w:r>
      <w:r>
        <w:rPr>
          <w:rFonts w:cs="Tahoma" w:ascii="Tahoma" w:hAnsi="Tahoma"/>
          <w:sz w:val="22"/>
          <w:szCs w:val="22"/>
        </w:rPr>
        <w:t xml:space="preserve"> se jednotková cena položek bude účtovat podle cenové soustavy v níž je zpracována příslušná část výkazu výměr v její aktuální cenové úrovni. </w:t>
      </w:r>
    </w:p>
    <w:p>
      <w:pPr>
        <w:pStyle w:val="Normal"/>
        <w:numPr>
          <w:ilvl w:val="0"/>
          <w:numId w:val="30"/>
        </w:numPr>
        <w:spacing w:before="120" w:after="0"/>
        <w:jc w:val="both"/>
        <w:rPr>
          <w:rFonts w:ascii="Tahoma" w:hAnsi="Tahoma" w:cs="Tahoma"/>
          <w:sz w:val="22"/>
          <w:szCs w:val="22"/>
        </w:rPr>
      </w:pPr>
      <w:r>
        <w:rPr>
          <w:rFonts w:cs="Tahoma" w:ascii="Tahoma" w:hAnsi="Tahoma"/>
          <w:sz w:val="22"/>
          <w:szCs w:val="22"/>
        </w:rPr>
        <w:t>Pouze ve výjimečných případech, kdy nelze pro stanovení jednotkové ceny nové položky víceprací použít žádný z výše uvedených postupů,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pPr>
        <w:pStyle w:val="Normal"/>
        <w:spacing w:before="120" w:after="0"/>
        <w:ind w:left="717"/>
        <w:jc w:val="both"/>
        <w:rPr>
          <w:rFonts w:ascii="Tahoma" w:hAnsi="Tahoma" w:cs="Tahoma"/>
          <w:b/>
          <w:bCs/>
          <w:sz w:val="22"/>
          <w:szCs w:val="22"/>
        </w:rPr>
      </w:pPr>
      <w:r>
        <w:rPr>
          <w:rFonts w:cs="Tahoma" w:ascii="Tahoma" w:hAnsi="Tahoma"/>
          <w:b/>
          <w:bCs/>
          <w:sz w:val="22"/>
          <w:szCs w:val="22"/>
        </w:rPr>
        <w:t>ZÁMĚNY POLOŽEK dle § 222 odst. 7 ZZVZ</w:t>
      </w:r>
    </w:p>
    <w:p>
      <w:pPr>
        <w:pStyle w:val="Normal"/>
        <w:numPr>
          <w:ilvl w:val="0"/>
          <w:numId w:val="29"/>
        </w:numPr>
        <w:spacing w:before="120" w:after="0"/>
        <w:jc w:val="both"/>
        <w:rPr>
          <w:rFonts w:ascii="Tahoma" w:hAnsi="Tahoma" w:cs="Tahoma"/>
          <w:sz w:val="22"/>
          <w:szCs w:val="22"/>
        </w:rPr>
      </w:pPr>
      <w:r>
        <w:rPr>
          <w:rFonts w:cs="Tahoma" w:ascii="Tahoma" w:hAnsi="Tahoma"/>
          <w:sz w:val="22"/>
          <w:szCs w:val="22"/>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p>
    <w:p>
      <w:pPr>
        <w:pStyle w:val="Normal"/>
        <w:spacing w:before="120" w:after="0"/>
        <w:ind w:left="717"/>
        <w:jc w:val="both"/>
        <w:rPr>
          <w:rFonts w:ascii="Tahoma" w:hAnsi="Tahoma" w:cs="Tahoma"/>
          <w:sz w:val="22"/>
          <w:szCs w:val="22"/>
        </w:rPr>
      </w:pPr>
      <w:r>
        <w:rPr>
          <w:rFonts w:cs="Tahoma" w:ascii="Tahoma" w:hAnsi="Tahoma"/>
          <w:b/>
          <w:sz w:val="22"/>
          <w:szCs w:val="22"/>
          <w:u w:val="single"/>
        </w:rPr>
        <w:t>ZMĚNY VÝŠE DPH</w:t>
      </w:r>
    </w:p>
    <w:p>
      <w:pPr>
        <w:pStyle w:val="Normal"/>
        <w:numPr>
          <w:ilvl w:val="0"/>
          <w:numId w:val="29"/>
        </w:numPr>
        <w:spacing w:before="120" w:after="0"/>
        <w:jc w:val="both"/>
        <w:rPr>
          <w:rFonts w:ascii="Tahoma" w:hAnsi="Tahoma" w:cs="Tahoma"/>
          <w:sz w:val="22"/>
          <w:szCs w:val="22"/>
        </w:rPr>
      </w:pPr>
      <w:r>
        <w:rPr>
          <w:rFonts w:cs="Tahoma" w:ascii="Tahoma" w:hAnsi="Tahoma"/>
          <w:sz w:val="22"/>
          <w:szCs w:val="22"/>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pPr>
        <w:pStyle w:val="Normal"/>
        <w:numPr>
          <w:ilvl w:val="0"/>
          <w:numId w:val="18"/>
        </w:numPr>
        <w:tabs>
          <w:tab w:val="clear" w:pos="709"/>
        </w:tabs>
        <w:spacing w:before="120" w:after="0"/>
        <w:ind w:hanging="357" w:left="357"/>
        <w:jc w:val="both"/>
        <w:rPr>
          <w:rFonts w:ascii="Tahoma" w:hAnsi="Tahoma" w:cs="Tahoma"/>
          <w:sz w:val="22"/>
          <w:szCs w:val="22"/>
        </w:rPr>
      </w:pPr>
      <w:r>
        <w:rPr>
          <w:rFonts w:cs="Tahoma" w:ascii="Tahoma" w:hAnsi="Tahoma"/>
          <w:sz w:val="22"/>
          <w:szCs w:val="22"/>
        </w:rPr>
        <w:t>Rozsah případných méněprací nebo víceprací a cena za jejich realizaci, jakož i záměna položek dle § 222 odst. 7 ZZVZ budou vždy předem sjednány dodatkem k této smlouvě.</w:t>
      </w:r>
    </w:p>
    <w:p>
      <w:pPr>
        <w:pStyle w:val="Normal"/>
        <w:numPr>
          <w:ilvl w:val="0"/>
          <w:numId w:val="18"/>
        </w:numPr>
        <w:tabs>
          <w:tab w:val="clear" w:pos="709"/>
        </w:tabs>
        <w:spacing w:before="120" w:after="0"/>
        <w:ind w:hanging="357" w:left="357"/>
        <w:jc w:val="both"/>
        <w:rPr>
          <w:rFonts w:ascii="Tahoma" w:hAnsi="Tahoma" w:cs="Tahoma"/>
          <w:sz w:val="22"/>
          <w:szCs w:val="22"/>
        </w:rPr>
      </w:pPr>
      <w:r>
        <w:rPr>
          <w:rFonts w:cs="Tahoma" w:ascii="Tahoma" w:hAnsi="Tahoma"/>
          <w:sz w:val="22"/>
          <w:szCs w:val="22"/>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pPr>
        <w:pStyle w:val="Normal"/>
        <w:numPr>
          <w:ilvl w:val="0"/>
          <w:numId w:val="18"/>
        </w:numPr>
        <w:tabs>
          <w:tab w:val="clear" w:pos="709"/>
        </w:tabs>
        <w:spacing w:before="120" w:after="0"/>
        <w:ind w:hanging="357" w:left="357"/>
        <w:jc w:val="both"/>
        <w:rPr>
          <w:rFonts w:ascii="Tahoma" w:hAnsi="Tahoma" w:cs="Tahoma"/>
          <w:sz w:val="22"/>
          <w:szCs w:val="22"/>
        </w:rPr>
      </w:pPr>
      <w:r>
        <w:rPr>
          <w:rFonts w:cs="Tahoma" w:ascii="Tahoma" w:hAnsi="Tahoma"/>
          <w:sz w:val="22"/>
          <w:szCs w:val="22"/>
        </w:rPr>
        <w:t xml:space="preserve">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 </w:t>
      </w:r>
    </w:p>
    <w:p>
      <w:pPr>
        <w:pStyle w:val="Normal"/>
        <w:numPr>
          <w:ilvl w:val="0"/>
          <w:numId w:val="18"/>
        </w:numPr>
        <w:tabs>
          <w:tab w:val="clear" w:pos="709"/>
        </w:tabs>
        <w:spacing w:before="120" w:after="0"/>
        <w:ind w:hanging="357" w:left="357"/>
        <w:jc w:val="both"/>
        <w:rPr>
          <w:rFonts w:ascii="Tahoma" w:hAnsi="Tahoma" w:cs="Tahoma"/>
          <w:sz w:val="22"/>
          <w:szCs w:val="22"/>
        </w:rPr>
      </w:pPr>
      <w:r>
        <w:rPr>
          <w:rFonts w:cs="Tahoma" w:ascii="Tahoma" w:hAnsi="Tahoma"/>
          <w:sz w:val="22"/>
          <w:szCs w:val="22"/>
        </w:rPr>
        <w:t xml:space="preserve">Pro plnění dle této smlouvy nebude uplatněna přenesená daňová povinnost podle § 92a zákona o DPH, proto bude cena díla fakturována vč. DPH. </w:t>
      </w:r>
    </w:p>
    <w:p>
      <w:pPr>
        <w:pStyle w:val="Normal"/>
        <w:keepNext w:val="true"/>
        <w:spacing w:before="360" w:after="0"/>
        <w:jc w:val="center"/>
        <w:rPr>
          <w:rFonts w:ascii="Tahoma" w:hAnsi="Tahoma" w:cs="Tahoma"/>
          <w:b/>
          <w:sz w:val="22"/>
          <w:szCs w:val="22"/>
        </w:rPr>
      </w:pPr>
      <w:r>
        <w:rPr>
          <w:rFonts w:cs="Tahoma" w:ascii="Tahoma" w:hAnsi="Tahoma"/>
          <w:b/>
          <w:sz w:val="22"/>
          <w:szCs w:val="22"/>
        </w:rPr>
        <w:t>VI.</w:t>
        <w:br/>
        <w:t>Platební podmínky</w:t>
      </w:r>
    </w:p>
    <w:p>
      <w:pPr>
        <w:pStyle w:val="Normal"/>
        <w:widowControl w:val="false"/>
        <w:numPr>
          <w:ilvl w:val="1"/>
          <w:numId w:val="3"/>
        </w:numPr>
        <w:tabs>
          <w:tab w:val="clear" w:pos="709"/>
        </w:tabs>
        <w:snapToGrid w:val="false"/>
        <w:spacing w:before="120" w:after="0"/>
        <w:ind w:hanging="357" w:left="357"/>
        <w:jc w:val="both"/>
        <w:rPr>
          <w:rFonts w:ascii="Tahoma" w:hAnsi="Tahoma" w:cs="Tahoma"/>
          <w:sz w:val="22"/>
          <w:szCs w:val="22"/>
        </w:rPr>
      </w:pPr>
      <w:r>
        <w:rPr>
          <w:rFonts w:cs="Tahoma" w:ascii="Tahoma" w:hAnsi="Tahoma"/>
          <w:sz w:val="22"/>
          <w:szCs w:val="22"/>
        </w:rPr>
        <w:t>Zálohy na platby nejsou sjednány.</w:t>
      </w:r>
    </w:p>
    <w:p>
      <w:pPr>
        <w:pStyle w:val="Normal"/>
        <w:widowControl w:val="false"/>
        <w:numPr>
          <w:ilvl w:val="1"/>
          <w:numId w:val="3"/>
        </w:numPr>
        <w:tabs>
          <w:tab w:val="clear" w:pos="709"/>
        </w:tabs>
        <w:snapToGrid w:val="false"/>
        <w:spacing w:before="120" w:after="0"/>
        <w:ind w:hanging="357" w:left="357"/>
        <w:jc w:val="both"/>
        <w:rPr>
          <w:rFonts w:ascii="Tahoma" w:hAnsi="Tahoma" w:cs="Tahoma"/>
          <w:sz w:val="22"/>
          <w:szCs w:val="22"/>
        </w:rPr>
      </w:pPr>
      <w:r>
        <w:rPr>
          <w:rFonts w:cs="Tahoma" w:ascii="Tahoma" w:hAnsi="Tahoma"/>
          <w:sz w:val="22"/>
          <w:szCs w:val="22"/>
        </w:rPr>
        <w:t>Podkladem pro úhradu ceny za dílo budou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pPr>
        <w:pStyle w:val="Normal"/>
        <w:widowControl w:val="false"/>
        <w:numPr>
          <w:ilvl w:val="2"/>
          <w:numId w:val="4"/>
        </w:numPr>
        <w:tabs>
          <w:tab w:val="clear" w:pos="709"/>
          <w:tab w:val="left" w:pos="714" w:leader="none"/>
        </w:tabs>
        <w:snapToGrid w:val="false"/>
        <w:spacing w:before="60" w:after="0"/>
        <w:ind w:hanging="357" w:left="714"/>
        <w:jc w:val="both"/>
        <w:rPr>
          <w:rFonts w:ascii="Tahoma" w:hAnsi="Tahoma" w:cs="Tahoma"/>
          <w:sz w:val="22"/>
          <w:szCs w:val="22"/>
        </w:rPr>
      </w:pPr>
      <w:r>
        <w:rPr>
          <w:rFonts w:cs="Tahoma" w:ascii="Tahoma" w:hAnsi="Tahoma"/>
          <w:sz w:val="22"/>
          <w:szCs w:val="22"/>
        </w:rPr>
        <w:t>IČO objednatele,</w:t>
      </w:r>
    </w:p>
    <w:p>
      <w:pPr>
        <w:pStyle w:val="Normal"/>
        <w:widowControl w:val="false"/>
        <w:numPr>
          <w:ilvl w:val="2"/>
          <w:numId w:val="4"/>
        </w:numPr>
        <w:tabs>
          <w:tab w:val="clear" w:pos="709"/>
          <w:tab w:val="left" w:pos="714" w:leader="none"/>
        </w:tabs>
        <w:snapToGrid w:val="false"/>
        <w:spacing w:before="60" w:after="0"/>
        <w:ind w:hanging="357" w:left="714"/>
        <w:jc w:val="both"/>
        <w:rPr>
          <w:rFonts w:ascii="Tahoma" w:hAnsi="Tahoma" w:cs="Tahoma"/>
          <w:sz w:val="22"/>
          <w:szCs w:val="22"/>
        </w:rPr>
      </w:pPr>
      <w:r>
        <w:rPr>
          <w:rFonts w:cs="Tahoma" w:ascii="Tahoma" w:hAnsi="Tahoma"/>
          <w:sz w:val="22"/>
          <w:szCs w:val="22"/>
        </w:rPr>
        <w:t xml:space="preserve">předmět smlouvy, tj. text „zhotovení stavby - Chodník Záguří - Těrlicko“, </w:t>
      </w:r>
    </w:p>
    <w:p>
      <w:pPr>
        <w:pStyle w:val="Normal"/>
        <w:widowControl w:val="false"/>
        <w:numPr>
          <w:ilvl w:val="2"/>
          <w:numId w:val="4"/>
        </w:numPr>
        <w:tabs>
          <w:tab w:val="left" w:pos="709" w:leader="none"/>
        </w:tabs>
        <w:snapToGrid w:val="false"/>
        <w:spacing w:before="60" w:after="0"/>
        <w:ind w:hanging="357" w:left="714"/>
        <w:jc w:val="both"/>
        <w:rPr>
          <w:rFonts w:ascii="Tahoma" w:hAnsi="Tahoma" w:cs="Tahoma"/>
          <w:sz w:val="22"/>
          <w:szCs w:val="22"/>
        </w:rPr>
      </w:pPr>
      <w:r>
        <w:rPr>
          <w:rFonts w:cs="Tahoma" w:ascii="Tahoma" w:hAnsi="Tahoma"/>
          <w:sz w:val="22"/>
          <w:szCs w:val="22"/>
        </w:rPr>
        <w:t>označení banky a číslo zveřejněného účtu, na který musí být zaplaceno,</w:t>
      </w:r>
    </w:p>
    <w:p>
      <w:pPr>
        <w:pStyle w:val="Normal"/>
        <w:widowControl w:val="false"/>
        <w:numPr>
          <w:ilvl w:val="2"/>
          <w:numId w:val="4"/>
        </w:numPr>
        <w:tabs>
          <w:tab w:val="left" w:pos="709" w:leader="none"/>
        </w:tabs>
        <w:snapToGrid w:val="false"/>
        <w:spacing w:before="60" w:after="0"/>
        <w:ind w:hanging="357" w:left="714"/>
        <w:jc w:val="both"/>
        <w:rPr>
          <w:rFonts w:ascii="Tahoma" w:hAnsi="Tahoma" w:cs="Tahoma"/>
          <w:sz w:val="22"/>
          <w:szCs w:val="22"/>
        </w:rPr>
      </w:pPr>
      <w:r>
        <w:rPr>
          <w:rFonts w:cs="Tahoma" w:ascii="Tahoma" w:hAnsi="Tahoma"/>
          <w:sz w:val="22"/>
          <w:szCs w:val="22"/>
        </w:rPr>
        <w:t>lhůtu splatnosti faktury,</w:t>
      </w:r>
    </w:p>
    <w:p>
      <w:pPr>
        <w:pStyle w:val="Normal"/>
        <w:widowControl w:val="false"/>
        <w:numPr>
          <w:ilvl w:val="2"/>
          <w:numId w:val="4"/>
        </w:numPr>
        <w:tabs>
          <w:tab w:val="left" w:pos="709" w:leader="none"/>
        </w:tabs>
        <w:snapToGrid w:val="false"/>
        <w:spacing w:before="60" w:after="0"/>
        <w:ind w:hanging="357" w:left="714"/>
        <w:jc w:val="both"/>
        <w:rPr>
          <w:rFonts w:ascii="Tahoma" w:hAnsi="Tahoma" w:cs="Tahoma"/>
          <w:sz w:val="22"/>
          <w:szCs w:val="22"/>
        </w:rPr>
      </w:pPr>
      <w:r>
        <w:rPr>
          <w:rFonts w:cs="Tahoma" w:ascii="Tahoma" w:hAnsi="Tahoma"/>
          <w:sz w:val="22"/>
          <w:szCs w:val="22"/>
        </w:rPr>
        <w:t>označení osoby, která fakturu vyhotovila, včetně jejího podpisu a kontaktního telefonu,</w:t>
      </w:r>
    </w:p>
    <w:p>
      <w:pPr>
        <w:pStyle w:val="Normal"/>
        <w:widowControl w:val="false"/>
        <w:numPr>
          <w:ilvl w:val="2"/>
          <w:numId w:val="4"/>
        </w:numPr>
        <w:tabs>
          <w:tab w:val="left" w:pos="709" w:leader="none"/>
        </w:tabs>
        <w:snapToGrid w:val="false"/>
        <w:spacing w:before="60" w:after="0"/>
        <w:ind w:hanging="357" w:left="714"/>
        <w:jc w:val="both"/>
        <w:rPr>
          <w:rFonts w:ascii="Tahoma" w:hAnsi="Tahoma" w:cs="Tahoma"/>
          <w:sz w:val="22"/>
          <w:szCs w:val="22"/>
        </w:rPr>
      </w:pPr>
      <w:r>
        <w:rPr>
          <w:rFonts w:cs="Tahoma" w:ascii="Tahoma" w:hAnsi="Tahoma"/>
          <w:sz w:val="22"/>
          <w:szCs w:val="22"/>
        </w:rPr>
        <w:t>oceněný výkaz výměr ve formátu pdf a v elektronickém výstupu ze softwaru pro rozpočtování (např. .kz, .kza, .unixml, .rts, .xc4, .utf, StavData a jakýkoliv uzamčený excelovský soubor, který je přímým výstupem softwaru pro rozpočtování),</w:t>
      </w:r>
    </w:p>
    <w:p>
      <w:pPr>
        <w:pStyle w:val="Normal"/>
        <w:widowControl w:val="false"/>
        <w:numPr>
          <w:ilvl w:val="2"/>
          <w:numId w:val="4"/>
        </w:numPr>
        <w:tabs>
          <w:tab w:val="left" w:pos="709" w:leader="none"/>
        </w:tabs>
        <w:snapToGrid w:val="false"/>
        <w:spacing w:before="60" w:after="0"/>
        <w:ind w:hanging="357" w:left="714"/>
        <w:jc w:val="both"/>
        <w:rPr>
          <w:rFonts w:ascii="Tahoma" w:hAnsi="Tahoma" w:cs="Tahoma"/>
          <w:sz w:val="22"/>
          <w:szCs w:val="22"/>
        </w:rPr>
      </w:pPr>
      <w:r>
        <w:rPr>
          <w:rFonts w:cs="Tahoma" w:ascii="Tahoma" w:hAnsi="Tahoma"/>
          <w:sz w:val="22"/>
          <w:szCs w:val="22"/>
        </w:rPr>
        <w:t>přílohou konečné faktury bude protokol o předání a převzetí díla dle této smlouvy, obsahující prohlášení objednatele, že dílo přejímá. Součástí konečné faktury bude rekapitulace vystavených faktur a rekapitulace veškerých provedených prací, která bude zpracována v souladu s odsouhlaseným soupisem prací.</w:t>
      </w:r>
    </w:p>
    <w:p>
      <w:pPr>
        <w:pStyle w:val="Normal"/>
        <w:widowControl w:val="false"/>
        <w:numPr>
          <w:ilvl w:val="1"/>
          <w:numId w:val="3"/>
        </w:numPr>
        <w:tabs>
          <w:tab w:val="clear" w:pos="709"/>
        </w:tabs>
        <w:snapToGrid w:val="false"/>
        <w:spacing w:before="120" w:after="0"/>
        <w:ind w:hanging="357" w:left="357"/>
        <w:jc w:val="both"/>
        <w:rPr>
          <w:rFonts w:ascii="Tahoma" w:hAnsi="Tahoma" w:cs="Tahoma"/>
          <w:sz w:val="22"/>
          <w:szCs w:val="22"/>
        </w:rPr>
      </w:pPr>
      <w:r>
        <w:rPr>
          <w:rFonts w:cs="Tahoma" w:ascii="Tahoma" w:hAnsi="Tahoma"/>
          <w:sz w:val="22"/>
          <w:szCs w:val="22"/>
        </w:rPr>
        <w:t>V souladu s ustanovením zákona o DPH sjednávají smluvní strany dílčí plnění v rozsahu skutečně provedeného plnění za kalendářní měsíc. Dílčí plnění odsouhlasené za objednatele podpisem osoby vykonávající technický dozor stavebníka v soupisu skutečně provedených prací a zjišťovacím protokolu, včetně dohody o ocenění, se považuje za samostatné zdanitelné plnění uskutečněné poslední pracovní den měsíce. Zhotovitel (plátce DPH) vystaví na měsíční zdanitelné plnění fakturu, jejíž nedílnou součástí bude soupis provedených prací a zjišťovací protokol - obojí podepsané zhotovitelem a odsouhlasené osobou vykonávající technický dozor stavebníka.</w:t>
      </w:r>
    </w:p>
    <w:p>
      <w:pPr>
        <w:pStyle w:val="Normal"/>
        <w:widowControl w:val="false"/>
        <w:numPr>
          <w:ilvl w:val="1"/>
          <w:numId w:val="3"/>
        </w:numPr>
        <w:tabs>
          <w:tab w:val="clear" w:pos="709"/>
        </w:tabs>
        <w:snapToGrid w:val="false"/>
        <w:spacing w:before="120" w:after="0"/>
        <w:ind w:hanging="357" w:left="357"/>
        <w:jc w:val="both"/>
        <w:rPr>
          <w:rFonts w:ascii="Tahoma" w:hAnsi="Tahoma" w:cs="Tahoma"/>
          <w:sz w:val="22"/>
          <w:szCs w:val="22"/>
        </w:rPr>
      </w:pPr>
      <w:r>
        <w:rPr>
          <w:rFonts w:cs="Tahoma" w:ascii="Tahoma" w:hAnsi="Tahoma"/>
          <w:sz w:val="22"/>
          <w:szCs w:val="22"/>
        </w:rPr>
        <w:t>V případě dodatečných prací fakturovaných na základě dodatků uzavřených k této smlouvě (vícepráce) bude soupis těchto prací tvořit samostatnou přílohu faktury.</w:t>
      </w:r>
    </w:p>
    <w:p>
      <w:pPr>
        <w:pStyle w:val="Normal"/>
        <w:widowControl w:val="false"/>
        <w:numPr>
          <w:ilvl w:val="1"/>
          <w:numId w:val="3"/>
        </w:numPr>
        <w:tabs>
          <w:tab w:val="clear" w:pos="709"/>
        </w:tabs>
        <w:snapToGrid w:val="false"/>
        <w:spacing w:before="120" w:after="0"/>
        <w:ind w:hanging="357" w:left="357"/>
        <w:jc w:val="both"/>
        <w:rPr>
          <w:rFonts w:ascii="Tahoma" w:hAnsi="Tahoma" w:cs="Tahoma"/>
          <w:sz w:val="22"/>
          <w:szCs w:val="22"/>
        </w:rPr>
      </w:pPr>
      <w:r>
        <w:rPr>
          <w:rFonts w:cs="Tahoma" w:ascii="Tahoma" w:hAnsi="Tahoma"/>
          <w:sz w:val="22"/>
          <w:szCs w:val="22"/>
        </w:rPr>
        <w:t>Lhůta splatnosti jednotlivých faktur je dohodou stanovena na 30 kalendářních dnů ode dne jejich doručení objednateli.</w:t>
      </w:r>
    </w:p>
    <w:p>
      <w:pPr>
        <w:pStyle w:val="Normal"/>
        <w:widowControl w:val="false"/>
        <w:numPr>
          <w:ilvl w:val="1"/>
          <w:numId w:val="3"/>
        </w:numPr>
        <w:tabs>
          <w:tab w:val="clear" w:pos="709"/>
        </w:tabs>
        <w:snapToGrid w:val="false"/>
        <w:spacing w:before="120" w:after="0"/>
        <w:ind w:hanging="357" w:left="357"/>
        <w:jc w:val="both"/>
        <w:rPr>
          <w:rFonts w:ascii="Tahoma" w:hAnsi="Tahoma" w:cs="Tahoma"/>
          <w:sz w:val="22"/>
          <w:szCs w:val="22"/>
        </w:rPr>
      </w:pPr>
      <w:r>
        <w:rPr>
          <w:rFonts w:cs="Tahoma" w:ascii="Tahoma" w:hAnsi="Tahoma"/>
          <w:sz w:val="22"/>
          <w:szCs w:val="22"/>
        </w:rPr>
        <w:t>Doručení faktury se provede osobně na podatelně objednatele oproti podpisu potvrzujícím převzetí, doručenkou prostřednictvím provozovatele poštovních služeb nebo prostřednictvím datové schránky nebo e-mailem na adresu info@horni-bludovice.cz.</w:t>
      </w:r>
    </w:p>
    <w:p>
      <w:pPr>
        <w:pStyle w:val="Normal"/>
        <w:widowControl w:val="false"/>
        <w:numPr>
          <w:ilvl w:val="1"/>
          <w:numId w:val="3"/>
        </w:numPr>
        <w:tabs>
          <w:tab w:val="clear" w:pos="709"/>
        </w:tabs>
        <w:snapToGrid w:val="false"/>
        <w:spacing w:before="120" w:after="0"/>
        <w:ind w:hanging="357" w:left="357"/>
        <w:jc w:val="both"/>
        <w:rPr>
          <w:rFonts w:ascii="Tahoma" w:hAnsi="Tahoma" w:cs="Tahoma"/>
          <w:sz w:val="22"/>
          <w:szCs w:val="22"/>
        </w:rPr>
      </w:pPr>
      <w:r>
        <w:rPr>
          <w:rFonts w:cs="Tahoma" w:ascii="Tahoma" w:hAnsi="Tahoma"/>
          <w:sz w:val="22"/>
          <w:szCs w:val="22"/>
        </w:rPr>
        <w:t>Objednatel je oprávněn vadnou fakturu před uplynutím lhůty splatnosti vrátit druhé smluvní straně bez zaplacení k provedení opravy v těchto případech:</w:t>
      </w:r>
    </w:p>
    <w:p>
      <w:pPr>
        <w:pStyle w:val="Normal"/>
        <w:widowControl w:val="false"/>
        <w:numPr>
          <w:ilvl w:val="0"/>
          <w:numId w:val="19"/>
        </w:numPr>
        <w:tabs>
          <w:tab w:val="clear" w:pos="709"/>
          <w:tab w:val="left" w:pos="714" w:leader="none"/>
        </w:tabs>
        <w:snapToGrid w:val="false"/>
        <w:spacing w:before="60" w:after="0"/>
        <w:ind w:hanging="357" w:left="714"/>
        <w:jc w:val="both"/>
        <w:rPr>
          <w:rFonts w:ascii="Tahoma" w:hAnsi="Tahoma" w:cs="Tahoma"/>
          <w:sz w:val="22"/>
          <w:szCs w:val="22"/>
        </w:rPr>
      </w:pPr>
      <w:r>
        <w:rPr>
          <w:rFonts w:cs="Tahoma" w:ascii="Tahoma" w:hAnsi="Tahoma"/>
          <w:sz w:val="22"/>
          <w:szCs w:val="22"/>
        </w:rPr>
        <w:t>nebude</w:t>
        <w:noBreakHyphen/>
        <w:t>li faktura obsahovat některou povinnou nebo dohodnutou náležitost nebo bude</w:t>
        <w:noBreakHyphen/>
        <w:t>li chybně vyúčtována cena za dílo,</w:t>
      </w:r>
    </w:p>
    <w:p>
      <w:pPr>
        <w:pStyle w:val="Normal"/>
        <w:widowControl w:val="false"/>
        <w:numPr>
          <w:ilvl w:val="0"/>
          <w:numId w:val="19"/>
        </w:numPr>
        <w:tabs>
          <w:tab w:val="clear" w:pos="709"/>
          <w:tab w:val="left" w:pos="714" w:leader="none"/>
        </w:tabs>
        <w:snapToGrid w:val="false"/>
        <w:spacing w:before="60" w:after="0"/>
        <w:ind w:hanging="357" w:left="714"/>
        <w:jc w:val="both"/>
        <w:rPr>
          <w:rFonts w:ascii="Tahoma" w:hAnsi="Tahoma" w:cs="Tahoma"/>
          <w:sz w:val="22"/>
          <w:szCs w:val="22"/>
        </w:rPr>
      </w:pPr>
      <w:r>
        <w:rPr>
          <w:rFonts w:cs="Tahoma" w:ascii="Tahoma" w:hAnsi="Tahoma"/>
          <w:sz w:val="22"/>
          <w:szCs w:val="22"/>
        </w:rPr>
        <w:t>budou</w:t>
        <w:noBreakHyphen/>
        <w:t>li vyúčtovány práce, které nebyly provedeny či nebyly potvrzeny oprávněným zástupcem objednatele,</w:t>
      </w:r>
    </w:p>
    <w:p>
      <w:pPr>
        <w:pStyle w:val="Normal"/>
        <w:widowControl w:val="false"/>
        <w:numPr>
          <w:ilvl w:val="0"/>
          <w:numId w:val="19"/>
        </w:numPr>
        <w:tabs>
          <w:tab w:val="clear" w:pos="709"/>
          <w:tab w:val="left" w:pos="714" w:leader="none"/>
        </w:tabs>
        <w:snapToGrid w:val="false"/>
        <w:spacing w:before="60" w:after="0"/>
        <w:ind w:hanging="357" w:left="714"/>
        <w:jc w:val="both"/>
        <w:rPr>
          <w:rFonts w:ascii="Tahoma" w:hAnsi="Tahoma" w:cs="Tahoma"/>
          <w:sz w:val="22"/>
          <w:szCs w:val="22"/>
        </w:rPr>
      </w:pPr>
      <w:r>
        <w:rPr>
          <w:rFonts w:cs="Tahoma" w:ascii="Tahoma" w:hAnsi="Tahoma"/>
          <w:sz w:val="22"/>
          <w:szCs w:val="22"/>
        </w:rPr>
        <w:t>bude</w:t>
        <w:noBreakHyphen/>
        <w:t>li DPH vyúčtována v nesprávné výši.</w:t>
      </w:r>
    </w:p>
    <w:p>
      <w:pPr>
        <w:pStyle w:val="Smlouva-slo1"/>
        <w:spacing w:lineRule="auto" w:line="240"/>
        <w:ind w:left="357"/>
        <w:rPr>
          <w:rFonts w:ascii="Tahoma" w:hAnsi="Tahoma" w:cs="Tahoma"/>
          <w:sz w:val="22"/>
          <w:szCs w:val="22"/>
        </w:rPr>
      </w:pPr>
      <w:r>
        <w:rPr>
          <w:rFonts w:cs="Tahoma" w:ascii="Tahoma" w:hAnsi="Tahoma"/>
          <w:sz w:val="22"/>
          <w:szCs w:val="22"/>
        </w:rPr>
        <w:t>Ve vrácené faktuře objednatel vyznačí důvod vrácení. Zhotovitel provede opravu faktury a znovu ji doručí objednateli. Vrátí</w:t>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pPr>
        <w:pStyle w:val="Normal"/>
        <w:widowControl w:val="false"/>
        <w:numPr>
          <w:ilvl w:val="1"/>
          <w:numId w:val="3"/>
        </w:numPr>
        <w:tabs>
          <w:tab w:val="clear" w:pos="709"/>
        </w:tabs>
        <w:snapToGrid w:val="false"/>
        <w:spacing w:before="120" w:after="0"/>
        <w:ind w:hanging="357" w:left="357"/>
        <w:jc w:val="both"/>
        <w:rPr>
          <w:rFonts w:ascii="Tahoma" w:hAnsi="Tahoma" w:cs="Tahoma"/>
          <w:sz w:val="22"/>
          <w:szCs w:val="22"/>
        </w:rPr>
      </w:pPr>
      <w:r>
        <w:rPr>
          <w:rFonts w:cs="Tahoma" w:ascii="Tahoma" w:hAnsi="Tahoma"/>
          <w:sz w:val="22"/>
          <w:szCs w:val="22"/>
        </w:rPr>
        <w:t>Povinnost zaplatit cenu za dílo je splněna dnem odepsání příslušné částky z účtu objednatele.</w:t>
      </w:r>
    </w:p>
    <w:p>
      <w:pPr>
        <w:pStyle w:val="Normal"/>
        <w:widowControl w:val="false"/>
        <w:numPr>
          <w:ilvl w:val="1"/>
          <w:numId w:val="3"/>
        </w:numPr>
        <w:tabs>
          <w:tab w:val="clear" w:pos="709"/>
        </w:tabs>
        <w:snapToGrid w:val="false"/>
        <w:spacing w:before="120" w:after="0"/>
        <w:ind w:hanging="357" w:left="357"/>
        <w:jc w:val="both"/>
        <w:rPr>
          <w:rFonts w:ascii="Tahoma" w:hAnsi="Tahoma" w:cs="Tahoma"/>
          <w:sz w:val="22"/>
          <w:szCs w:val="22"/>
        </w:rPr>
      </w:pPr>
      <w:r>
        <w:rPr>
          <w:rFonts w:cs="Tahoma" w:ascii="Tahoma" w:hAnsi="Tahoma"/>
          <w:sz w:val="22"/>
          <w:szCs w:val="22"/>
        </w:rPr>
        <w:t>Objednatel je oprávněn pozastavit financování v případě, že zhotovitel bezdůvodně přeruší práce nebo práce bude provádět v rozporu s projektovou dokumentací, touto smlouvou nebo pokyny objednatele.</w:t>
      </w:r>
    </w:p>
    <w:p>
      <w:pPr>
        <w:pStyle w:val="Normal"/>
        <w:widowControl w:val="false"/>
        <w:numPr>
          <w:ilvl w:val="1"/>
          <w:numId w:val="3"/>
        </w:numPr>
        <w:tabs>
          <w:tab w:val="clear" w:pos="709"/>
        </w:tabs>
        <w:snapToGrid w:val="false"/>
        <w:spacing w:before="120" w:after="0"/>
        <w:ind w:hanging="357" w:left="357"/>
        <w:jc w:val="both"/>
        <w:rPr>
          <w:rFonts w:ascii="Tahoma" w:hAnsi="Tahoma" w:cs="Tahoma"/>
          <w:sz w:val="22"/>
          <w:szCs w:val="22"/>
        </w:rPr>
      </w:pPr>
      <w:r>
        <w:rPr>
          <w:rFonts w:cs="Tahoma" w:ascii="Tahoma" w:hAnsi="Tahoma"/>
          <w:sz w:val="22"/>
          <w:szCs w:val="22"/>
        </w:rPr>
        <w:t>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pPr>
        <w:pStyle w:val="Normal"/>
        <w:numPr>
          <w:ilvl w:val="0"/>
          <w:numId w:val="28"/>
        </w:numPr>
        <w:spacing w:before="60" w:after="0"/>
        <w:ind w:hanging="357" w:left="714"/>
        <w:jc w:val="both"/>
        <w:rPr>
          <w:rFonts w:ascii="Tahoma" w:hAnsi="Tahoma" w:cs="Tahoma"/>
          <w:sz w:val="22"/>
          <w:szCs w:val="22"/>
        </w:rPr>
      </w:pPr>
      <w:r>
        <w:rPr>
          <w:rFonts w:cs="Tahoma" w:ascii="Tahoma" w:hAnsi="Tahoma"/>
          <w:sz w:val="22"/>
          <w:szCs w:val="22"/>
        </w:rPr>
        <w:t>zhotovitel bude ke dni poskytnutí úplaty nebo ke dni uskutečnění zdanitelného plnění zveřejněn v aplikaci „Registr DPH“ jako nespolehlivý plátce, nebo</w:t>
      </w:r>
    </w:p>
    <w:p>
      <w:pPr>
        <w:pStyle w:val="Normal"/>
        <w:numPr>
          <w:ilvl w:val="0"/>
          <w:numId w:val="28"/>
        </w:numPr>
        <w:spacing w:before="60" w:after="0"/>
        <w:ind w:hanging="357" w:left="714"/>
        <w:jc w:val="both"/>
        <w:rPr>
          <w:rFonts w:ascii="Tahoma" w:hAnsi="Tahoma" w:cs="Tahoma"/>
          <w:sz w:val="22"/>
          <w:szCs w:val="22"/>
        </w:rPr>
      </w:pPr>
      <w:r>
        <w:rPr>
          <w:rFonts w:cs="Tahoma" w:ascii="Tahoma" w:hAnsi="Tahoma"/>
          <w:sz w:val="22"/>
          <w:szCs w:val="22"/>
        </w:rPr>
        <w:t>zhotovitel bude ke dni poskytnutí úplaty nebo ke dni uskutečnění zdanitelného plnění v insolvenčním řízení, nebo</w:t>
      </w:r>
    </w:p>
    <w:p>
      <w:pPr>
        <w:pStyle w:val="Normal"/>
        <w:numPr>
          <w:ilvl w:val="0"/>
          <w:numId w:val="28"/>
        </w:numPr>
        <w:spacing w:before="60" w:after="0"/>
        <w:ind w:hanging="357" w:left="714"/>
        <w:jc w:val="both"/>
        <w:rPr>
          <w:rFonts w:ascii="Tahoma" w:hAnsi="Tahoma" w:cs="Tahoma"/>
          <w:sz w:val="22"/>
          <w:szCs w:val="22"/>
        </w:rPr>
      </w:pPr>
      <w:r>
        <w:rPr>
          <w:rFonts w:cs="Tahoma" w:ascii="Tahoma" w:hAnsi="Tahoma"/>
          <w:sz w:val="22"/>
          <w:szCs w:val="22"/>
        </w:rPr>
        <w:t>bankovní účet zhotovitele určený k úhradě plnění uvedený na faktuře nebude správcem daně zveřejněn v aplikaci „Registr DPH“.</w:t>
      </w:r>
    </w:p>
    <w:p>
      <w:pPr>
        <w:pStyle w:val="Normal"/>
        <w:spacing w:before="120" w:after="0"/>
        <w:ind w:left="357"/>
        <w:jc w:val="both"/>
        <w:rPr>
          <w:rFonts w:ascii="Tahoma" w:hAnsi="Tahoma" w:cs="Tahoma"/>
          <w:sz w:val="22"/>
          <w:szCs w:val="22"/>
        </w:rPr>
      </w:pPr>
      <w:r>
        <w:rPr>
          <w:rFonts w:cs="Tahoma" w:ascii="Tahoma" w:hAnsi="Tahoma"/>
          <w:sz w:val="22"/>
          <w:szCs w:val="22"/>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pPr>
        <w:pStyle w:val="Normal"/>
        <w:keepNext w:val="true"/>
        <w:spacing w:before="360" w:after="0"/>
        <w:jc w:val="center"/>
        <w:rPr>
          <w:rFonts w:ascii="Tahoma" w:hAnsi="Tahoma" w:cs="Tahoma"/>
          <w:b/>
          <w:sz w:val="22"/>
          <w:szCs w:val="22"/>
        </w:rPr>
      </w:pPr>
      <w:r>
        <w:rPr>
          <w:rFonts w:cs="Tahoma" w:ascii="Tahoma" w:hAnsi="Tahoma"/>
          <w:b/>
          <w:sz w:val="22"/>
          <w:szCs w:val="22"/>
        </w:rPr>
        <w:t>VII.</w:t>
        <w:br/>
        <w:t>Jakost díla</w:t>
      </w:r>
    </w:p>
    <w:p>
      <w:pPr>
        <w:pStyle w:val="Smlouva-slo1"/>
        <w:numPr>
          <w:ilvl w:val="0"/>
          <w:numId w:val="5"/>
        </w:numPr>
        <w:tabs>
          <w:tab w:val="clear" w:pos="709"/>
        </w:tabs>
        <w:spacing w:lineRule="auto" w:line="240"/>
        <w:rPr>
          <w:rFonts w:ascii="Tahoma" w:hAnsi="Tahoma" w:cs="Tahoma"/>
          <w:bCs/>
          <w:sz w:val="22"/>
          <w:szCs w:val="22"/>
        </w:rPr>
      </w:pPr>
      <w:r>
        <w:rPr>
          <w:rFonts w:cs="Tahoma" w:ascii="Tahoma" w:hAnsi="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pPr>
        <w:pStyle w:val="Smlouva-slo1"/>
        <w:numPr>
          <w:ilvl w:val="0"/>
          <w:numId w:val="5"/>
        </w:numPr>
        <w:tabs>
          <w:tab w:val="clear" w:pos="709"/>
        </w:tabs>
        <w:spacing w:lineRule="auto" w:line="240"/>
        <w:rPr>
          <w:rFonts w:ascii="Tahoma" w:hAnsi="Tahoma" w:cs="Tahoma"/>
          <w:bCs/>
          <w:sz w:val="22"/>
          <w:szCs w:val="22"/>
        </w:rPr>
      </w:pPr>
      <w:r>
        <w:rPr>
          <w:rFonts w:cs="Tahoma" w:ascii="Tahoma" w:hAnsi="Tahoma"/>
          <w:bCs/>
          <w:sz w:val="22"/>
          <w:szCs w:val="22"/>
        </w:rPr>
        <w:t>Smluvní strany se dohodly, že bude</w:t>
        <w:noBreakHyphen/>
        <w:t>li v rámci díla dodáváno zboží (spotřebiče, nábytek apod.), toto bude dodáno v nejvyšší jakosti.</w:t>
      </w:r>
    </w:p>
    <w:p>
      <w:pPr>
        <w:pStyle w:val="Smlouva-slo1"/>
        <w:numPr>
          <w:ilvl w:val="0"/>
          <w:numId w:val="5"/>
        </w:numPr>
        <w:tabs>
          <w:tab w:val="clear" w:pos="709"/>
        </w:tabs>
        <w:spacing w:lineRule="auto" w:line="240"/>
        <w:rPr>
          <w:rFonts w:ascii="Tahoma" w:hAnsi="Tahoma" w:cs="Tahoma"/>
          <w:bCs/>
          <w:sz w:val="22"/>
          <w:szCs w:val="22"/>
        </w:rPr>
      </w:pPr>
      <w:r>
        <w:rPr>
          <w:rFonts w:cs="Tahoma" w:ascii="Tahoma" w:hAnsi="Tahoma"/>
          <w:bCs/>
          <w:sz w:val="22"/>
          <w:szCs w:val="22"/>
        </w:rPr>
        <w:t>Jakost dodávaných materiálů a konstrukcí bude dokladována předepsaným způsobem při kontrolních prohlídkách a při předání a převzetí díla.</w:t>
      </w:r>
    </w:p>
    <w:p>
      <w:pPr>
        <w:pStyle w:val="Normal"/>
        <w:keepNext w:val="true"/>
        <w:spacing w:before="360" w:after="0"/>
        <w:jc w:val="center"/>
        <w:rPr>
          <w:rFonts w:ascii="Tahoma" w:hAnsi="Tahoma" w:cs="Tahoma"/>
          <w:b/>
          <w:sz w:val="22"/>
          <w:szCs w:val="22"/>
        </w:rPr>
      </w:pPr>
      <w:r>
        <w:rPr>
          <w:rFonts w:cs="Tahoma" w:ascii="Tahoma" w:hAnsi="Tahoma"/>
          <w:b/>
          <w:sz w:val="22"/>
          <w:szCs w:val="22"/>
        </w:rPr>
        <w:t>VIII.</w:t>
        <w:br/>
        <w:t>Staveniště</w:t>
      </w:r>
    </w:p>
    <w:p>
      <w:pPr>
        <w:pStyle w:val="Smlouva-slo1"/>
        <w:widowControl/>
        <w:numPr>
          <w:ilvl w:val="3"/>
          <w:numId w:val="4"/>
        </w:numPr>
        <w:spacing w:lineRule="auto" w:line="240"/>
        <w:rPr>
          <w:rFonts w:ascii="Tahoma" w:hAnsi="Tahoma" w:cs="Tahoma"/>
          <w:sz w:val="22"/>
          <w:szCs w:val="22"/>
        </w:rPr>
      </w:pPr>
      <w:r>
        <w:rPr>
          <w:rFonts w:cs="Tahoma" w:ascii="Tahoma" w:hAnsi="Tahoma"/>
          <w:sz w:val="22"/>
          <w:szCs w:val="22"/>
        </w:rPr>
        <w:t>Objednatel předá a zhotovitel převezme staveniště nejpozději do 5 kalendářních dnů od výzvy zaslané zhotoviteli, nedohodnou</w:t>
        <w:noBreakHyphen/>
        <w:t xml:space="preserve">li se smluvní strany, zejména s ohledem na klimatické podmínky, písemně jinak. </w:t>
      </w:r>
    </w:p>
    <w:p>
      <w:pPr>
        <w:pStyle w:val="Smlouva-slo1"/>
        <w:widowControl/>
        <w:spacing w:lineRule="auto" w:line="240"/>
        <w:ind w:left="357"/>
        <w:rPr>
          <w:rFonts w:ascii="Tahoma" w:hAnsi="Tahoma" w:cs="Tahoma"/>
          <w:sz w:val="22"/>
          <w:szCs w:val="22"/>
        </w:rPr>
      </w:pPr>
      <w:r>
        <w:rPr>
          <w:rFonts w:cs="Tahoma" w:ascii="Tahoma" w:hAnsi="Tahoma"/>
          <w:sz w:val="22"/>
          <w:szCs w:val="22"/>
        </w:rPr>
        <w:t>Dohoda o změně termínu předání a převzetí staveniště bude učiněna formou zápisu ve stavebním deníku nebo zápisu ze společného jednání smluvních stran v rámci přípravy realizace stavby,</w:t>
      </w:r>
      <w:r>
        <w:rPr>
          <w:rFonts w:cs="Tahoma" w:ascii="Tahoma" w:hAnsi="Tahoma"/>
        </w:rPr>
        <w:t xml:space="preserve"> </w:t>
      </w:r>
      <w:r>
        <w:rPr>
          <w:rFonts w:cs="Tahoma" w:ascii="Tahoma" w:hAnsi="Tahoma"/>
          <w:sz w:val="22"/>
          <w:szCs w:val="22"/>
        </w:rPr>
        <w:t>podepsaného zástupci zhotovitele i objednatele s tím, že tuto dohodu učiní za každou smluvní stranu osoba oprávněná jednat ve věcech realizace stavby dle čl. I odst. 1 a odst. 2 této smlouvy. Změnu termínu předání staveniště sjednanou výše uvedeným způsobem není nutno upravit dodatkem ke smlouvě.</w:t>
      </w:r>
    </w:p>
    <w:p>
      <w:pPr>
        <w:pStyle w:val="Smlouva-slo1"/>
        <w:widowControl/>
        <w:numPr>
          <w:ilvl w:val="3"/>
          <w:numId w:val="4"/>
        </w:numPr>
        <w:spacing w:lineRule="auto" w:line="240"/>
        <w:rPr>
          <w:rFonts w:ascii="Tahoma" w:hAnsi="Tahoma" w:cs="Tahoma"/>
          <w:sz w:val="22"/>
          <w:szCs w:val="22"/>
        </w:rPr>
      </w:pPr>
      <w:r>
        <w:rPr>
          <w:rFonts w:cs="Tahoma" w:ascii="Tahoma" w:hAnsi="Tahoma"/>
          <w:sz w:val="22"/>
          <w:szCs w:val="22"/>
        </w:rPr>
        <w:t>O předání a převzetí staveniště vyhotoví smluvní strany zápis. Při předání staveniště objednatel předá zhotoviteli 1 vyhotovení projektové dokumentace stavby.</w:t>
      </w:r>
    </w:p>
    <w:p>
      <w:pPr>
        <w:pStyle w:val="Smlouva-slo1"/>
        <w:widowControl/>
        <w:numPr>
          <w:ilvl w:val="3"/>
          <w:numId w:val="4"/>
        </w:numPr>
        <w:tabs>
          <w:tab w:val="clear" w:pos="709"/>
        </w:tabs>
        <w:spacing w:lineRule="auto" w:line="240"/>
        <w:rPr>
          <w:rFonts w:ascii="Tahoma" w:hAnsi="Tahoma" w:cs="Tahoma"/>
          <w:sz w:val="22"/>
          <w:szCs w:val="22"/>
        </w:rPr>
      </w:pPr>
      <w:r>
        <w:rPr>
          <w:rFonts w:cs="Tahoma" w:ascii="Tahoma" w:hAnsi="Tahoma"/>
          <w:sz w:val="22"/>
          <w:szCs w:val="22"/>
        </w:rPr>
        <w:t>Obvod staveniště je vymezen projektovou dokumentací. Pokud bude zhotovitel potřebovat pro realizaci díla prostor větší, zajistí si jej na vlastní náklady a vlastním jménem. Určení základních vytyčovacích prvků bude provedeno při předání staveniště objednatelem.</w:t>
      </w:r>
    </w:p>
    <w:p>
      <w:pPr>
        <w:pStyle w:val="Smlouva-slo1"/>
        <w:widowControl/>
        <w:numPr>
          <w:ilvl w:val="3"/>
          <w:numId w:val="4"/>
        </w:numPr>
        <w:tabs>
          <w:tab w:val="clear" w:pos="709"/>
        </w:tabs>
        <w:spacing w:lineRule="auto" w:line="240"/>
        <w:rPr>
          <w:rFonts w:ascii="Tahoma" w:hAnsi="Tahoma" w:cs="Tahoma"/>
          <w:sz w:val="22"/>
          <w:szCs w:val="22"/>
        </w:rPr>
      </w:pPr>
      <w:r>
        <w:rPr>
          <w:rFonts w:cs="Tahoma" w:ascii="Tahoma" w:hAnsi="Tahoma"/>
          <w:sz w:val="22"/>
          <w:szCs w:val="22"/>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p>
    <w:p>
      <w:pPr>
        <w:pStyle w:val="Smlouva-slo1"/>
        <w:widowControl/>
        <w:numPr>
          <w:ilvl w:val="3"/>
          <w:numId w:val="4"/>
        </w:numPr>
        <w:tabs>
          <w:tab w:val="clear" w:pos="709"/>
        </w:tabs>
        <w:spacing w:lineRule="auto" w:line="240"/>
        <w:rPr>
          <w:rFonts w:ascii="Tahoma" w:hAnsi="Tahoma" w:cs="Tahoma"/>
          <w:sz w:val="22"/>
          <w:szCs w:val="22"/>
        </w:rPr>
      </w:pPr>
      <w:r>
        <w:rPr>
          <w:rFonts w:cs="Tahoma" w:ascii="Tahoma" w:hAnsi="Tahoma"/>
          <w:sz w:val="22"/>
          <w:szCs w:val="22"/>
        </w:rPr>
        <w:t>Zhotovitel je povinen zajistit hlídání staveniště. Náklady na ostrahu jsou již zahrnuty v ceně za dílo.</w:t>
      </w:r>
    </w:p>
    <w:p>
      <w:pPr>
        <w:pStyle w:val="Smlouva-slo1"/>
        <w:widowControl/>
        <w:numPr>
          <w:ilvl w:val="3"/>
          <w:numId w:val="4"/>
        </w:numPr>
        <w:tabs>
          <w:tab w:val="clear" w:pos="709"/>
        </w:tabs>
        <w:spacing w:lineRule="auto" w:line="240"/>
        <w:rPr>
          <w:rFonts w:ascii="Tahoma" w:hAnsi="Tahoma" w:cs="Tahoma"/>
          <w:sz w:val="22"/>
          <w:szCs w:val="22"/>
        </w:rPr>
      </w:pPr>
      <w:r>
        <w:rPr>
          <w:rFonts w:cs="Tahoma" w:ascii="Tahoma" w:hAnsi="Tahoma"/>
          <w:sz w:val="22"/>
          <w:szCs w:val="22"/>
        </w:rPr>
        <w:t>Zhotovitel se zavazuje zcela vyklidit a vyčistit staveniště do 14 dnů od provedení díla. Při nedodržení tohoto termínu se zhotovitel zavazuje uhradit objednateli veškeré náklady a škody, které mu tím vznikly.</w:t>
      </w:r>
    </w:p>
    <w:p>
      <w:pPr>
        <w:pStyle w:val="Smlouva-slo1"/>
        <w:widowControl/>
        <w:numPr>
          <w:ilvl w:val="3"/>
          <w:numId w:val="4"/>
        </w:numPr>
        <w:tabs>
          <w:tab w:val="clear" w:pos="709"/>
        </w:tabs>
        <w:spacing w:lineRule="auto" w:line="240"/>
        <w:rPr>
          <w:rFonts w:ascii="Tahoma" w:hAnsi="Tahoma" w:cs="Tahoma"/>
          <w:sz w:val="22"/>
          <w:szCs w:val="22"/>
        </w:rPr>
      </w:pPr>
      <w:r>
        <w:rPr>
          <w:rFonts w:cs="Tahoma" w:ascii="Tahoma" w:hAnsi="Tahoma"/>
          <w:sz w:val="22"/>
          <w:szCs w:val="22"/>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pPr>
        <w:pStyle w:val="Smlouva-slo1"/>
        <w:widowControl/>
        <w:numPr>
          <w:ilvl w:val="3"/>
          <w:numId w:val="4"/>
        </w:numPr>
        <w:tabs>
          <w:tab w:val="clear" w:pos="709"/>
        </w:tabs>
        <w:spacing w:lineRule="auto" w:line="240"/>
        <w:rPr>
          <w:rFonts w:ascii="Tahoma" w:hAnsi="Tahoma" w:cs="Tahoma"/>
          <w:sz w:val="22"/>
          <w:szCs w:val="22"/>
        </w:rPr>
      </w:pPr>
      <w:r>
        <w:rPr>
          <w:rFonts w:cs="Tahoma" w:ascii="Tahoma" w:hAnsi="Tahoma"/>
          <w:sz w:val="22"/>
          <w:szCs w:val="22"/>
        </w:rPr>
        <w:t xml:space="preserve">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 </w:t>
      </w:r>
    </w:p>
    <w:p>
      <w:pPr>
        <w:pStyle w:val="Normal"/>
        <w:keepNext w:val="true"/>
        <w:spacing w:before="360" w:after="0"/>
        <w:jc w:val="center"/>
        <w:rPr>
          <w:rFonts w:ascii="Tahoma" w:hAnsi="Tahoma" w:cs="Tahoma"/>
          <w:b/>
          <w:sz w:val="22"/>
          <w:szCs w:val="22"/>
        </w:rPr>
      </w:pPr>
      <w:r>
        <w:rPr>
          <w:rFonts w:cs="Tahoma" w:ascii="Tahoma" w:hAnsi="Tahoma"/>
          <w:b/>
          <w:sz w:val="22"/>
          <w:szCs w:val="22"/>
        </w:rPr>
        <w:t>IX.</w:t>
        <w:br/>
        <w:t>Provádění díla, práva a povinnosti smluvních stran</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Zhotovitel je povinen:</w:t>
      </w:r>
    </w:p>
    <w:p>
      <w:pPr>
        <w:pStyle w:val="Smlouva-slo1"/>
        <w:numPr>
          <w:ilvl w:val="1"/>
          <w:numId w:val="7"/>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pPr>
        <w:pStyle w:val="Smlouva-slo1"/>
        <w:numPr>
          <w:ilvl w:val="1"/>
          <w:numId w:val="7"/>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dodržovat při provádění díla ujednání této smlouvy, řídit se podklady a pokyny objednatele a poskytnout mu požadovanou dokumentaci a informace,</w:t>
      </w:r>
    </w:p>
    <w:p>
      <w:pPr>
        <w:pStyle w:val="Smlouva-slo1"/>
        <w:numPr>
          <w:ilvl w:val="1"/>
          <w:numId w:val="7"/>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účastnit se na základě pozvánky objednatele všech jednání týkajících se předmětného díla,</w:t>
      </w:r>
    </w:p>
    <w:p>
      <w:pPr>
        <w:pStyle w:val="Smlouva-slo1"/>
        <w:numPr>
          <w:ilvl w:val="1"/>
          <w:numId w:val="7"/>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do 7 dnů od předání staveniště zpracovat a objednateli předat podrobný harmonogram výstavby. Zhotovitel je povinen harmonogram výstavby průběžně aktualizovat a aktualizace neprodleně předkládat osobě vykonávající technický dozor stavebníka a objednateli,</w:t>
      </w:r>
    </w:p>
    <w:p>
      <w:pPr>
        <w:pStyle w:val="Smlouva-slo1"/>
        <w:numPr>
          <w:ilvl w:val="1"/>
          <w:numId w:val="7"/>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dbát při provádění díla na ochranu životního prostředí a dodržovat platné technické, bezpečnostní, zdravotní, hygienické a jiné předpisy, včetně předpisů týkajících se ochrany životního prostředí,</w:t>
      </w:r>
    </w:p>
    <w:p>
      <w:pPr>
        <w:pStyle w:val="Smlouva-slo1"/>
        <w:numPr>
          <w:ilvl w:val="1"/>
          <w:numId w:val="7"/>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a jejich odsouhlasení osobou vykonávající technický dozor stavebníka není zhotovitel oprávněn započít s osazováním příslušných výrobků do stavby.</w:t>
      </w:r>
    </w:p>
    <w:p>
      <w:pPr>
        <w:pStyle w:val="Smlouva-slo1"/>
        <w:numPr>
          <w:ilvl w:val="0"/>
          <w:numId w:val="7"/>
        </w:numPr>
        <w:spacing w:lineRule="auto" w:line="240"/>
        <w:rPr>
          <w:rFonts w:ascii="Tahoma" w:hAnsi="Tahoma" w:cs="Tahoma"/>
          <w:sz w:val="22"/>
          <w:szCs w:val="22"/>
        </w:rPr>
      </w:pPr>
      <w:r>
        <w:rPr>
          <w:rFonts w:cs="Tahoma" w:ascii="Tahoma" w:hAnsi="Tahoma"/>
          <w:sz w:val="22"/>
          <w:szCs w:val="22"/>
        </w:rPr>
        <w:t>Zhotovitel je povinen informovat objednatele a zároveň osobu vykonávající technický dozor stavebníka o skutečnostech majících vliv na plnění této smlouvy, a to neprodleně, nejpozději následující pracovní den poté, kdy příslušná skutečnost nastane nebo zhotovitel zjistí, že by nastat mohla. Informace dle předchozí věty budou objednateli zaslány elektronickou poštou na adresu: info@horni-bludovice.cz. Zhotovitel je povinen informovat objednatele a osobou vykonávající technický dozor stavebníka zejména:</w:t>
      </w:r>
    </w:p>
    <w:p>
      <w:pPr>
        <w:pStyle w:val="Smlouva-slo1"/>
        <w:numPr>
          <w:ilvl w:val="0"/>
          <w:numId w:val="25"/>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zjistí</w:t>
        <w:noBreakHyphen/>
        <w:t>li při provádění díla skryté překážky bránící řádnému provedení díla. Zhotovitel je povinen navrhnout objednateli další postup,</w:t>
      </w:r>
    </w:p>
    <w:p>
      <w:pPr>
        <w:pStyle w:val="Smlouva-slo1"/>
        <w:numPr>
          <w:ilvl w:val="0"/>
          <w:numId w:val="25"/>
        </w:numPr>
        <w:tabs>
          <w:tab w:val="clear" w:pos="709"/>
          <w:tab w:val="left" w:pos="720" w:leader="none"/>
        </w:tabs>
        <w:spacing w:lineRule="auto" w:line="240" w:before="60" w:after="0"/>
        <w:ind w:hanging="357" w:left="714"/>
        <w:rPr>
          <w:rFonts w:ascii="Tahoma" w:hAnsi="Tahoma" w:cs="Tahoma"/>
          <w:sz w:val="22"/>
          <w:szCs w:val="22"/>
        </w:rPr>
      </w:pPr>
      <w:r>
        <w:rPr>
          <w:rFonts w:cs="Tahoma" w:ascii="Tahoma" w:hAnsi="Tahoma"/>
          <w:sz w:val="22"/>
          <w:szCs w:val="22"/>
        </w:rPr>
        <w:t>o případné nevhodnosti realizace vyžadovaných prací,</w:t>
      </w:r>
    </w:p>
    <w:p>
      <w:pPr>
        <w:pStyle w:val="Smlouva-slo1"/>
        <w:numPr>
          <w:ilvl w:val="0"/>
          <w:numId w:val="25"/>
        </w:numPr>
        <w:tabs>
          <w:tab w:val="clear" w:pos="709"/>
          <w:tab w:val="left" w:pos="720" w:leader="none"/>
        </w:tabs>
        <w:spacing w:lineRule="auto" w:line="240" w:before="60" w:after="0"/>
        <w:ind w:hanging="357" w:left="714"/>
        <w:rPr>
          <w:rFonts w:ascii="Tahoma" w:hAnsi="Tahoma" w:cs="Tahoma"/>
          <w:sz w:val="22"/>
          <w:szCs w:val="22"/>
        </w:rPr>
      </w:pPr>
      <w:r>
        <w:rPr>
          <w:rFonts w:cs="Tahoma" w:ascii="Tahoma" w:hAnsi="Tahoma"/>
          <w:sz w:val="22"/>
          <w:szCs w:val="22"/>
        </w:rPr>
        <w:t>zjistí</w:t>
        <w:noBreakHyphen/>
        <w:t>li v projektové dokumentaci stavby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pPr>
        <w:pStyle w:val="Smlouva-slo1"/>
        <w:numPr>
          <w:ilvl w:val="0"/>
          <w:numId w:val="7"/>
        </w:numPr>
        <w:spacing w:lineRule="auto" w:line="240"/>
        <w:rPr>
          <w:rFonts w:ascii="Tahoma" w:hAnsi="Tahoma" w:cs="Tahoma"/>
          <w:sz w:val="22"/>
          <w:szCs w:val="22"/>
        </w:rPr>
      </w:pPr>
      <w:r>
        <w:rPr>
          <w:rFonts w:cs="Tahoma" w:ascii="Tahoma" w:hAnsi="Tahoma"/>
          <w:sz w:val="22"/>
          <w:szCs w:val="22"/>
        </w:rPr>
        <w:t>Zhotovitel jako odborně způsobilá osoba je povinen zkontrolovat technickou část předané dokumentace vč. jejího rozsahu a obsahu dle požadavků stavebního zákona a souvisejících předpisů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Zhotovitel zajistí stavbu tak, aby nedošlo k ohrožování, nadměrnému nebo zbytečnému obtěžování okolí stavby, k omezování práv a právem chráněných zájmů vlastníků sousedních nemovitostí, ke znečištění komunikací apod.</w:t>
      </w:r>
    </w:p>
    <w:p>
      <w:pPr>
        <w:pStyle w:val="Smlouva-slo1"/>
        <w:numPr>
          <w:ilvl w:val="0"/>
          <w:numId w:val="7"/>
        </w:numPr>
        <w:spacing w:lineRule="auto" w:line="240"/>
        <w:rPr>
          <w:rFonts w:ascii="Tahoma" w:hAnsi="Tahoma" w:cs="Tahoma"/>
          <w:sz w:val="22"/>
          <w:szCs w:val="22"/>
        </w:rPr>
      </w:pPr>
      <w:r>
        <w:rPr>
          <w:rFonts w:cs="Tahoma" w:ascii="Tahoma" w:hAnsi="Tahoma"/>
          <w:sz w:val="22"/>
          <w:szCs w:val="22"/>
        </w:rPr>
        <w:t>Zhotovitel nese odpovědnost původce odpadů, zavazuje se nezpůsobovat únik ropných, toxických či jiných škodlivých látek na stavbě.</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Zhotovitel je povinen provedené stavební práce, zařizovací předměty a výrobky zabezpečit před poškozením a krádežemi až do předání díla k užívání objednateli, a to na vlastní náklady.</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Zhotovitel je povinen informovat objednatele o poddodavatelích, kteří se budou podílet na realizaci díla, a to před zahájením plnění části díla tímto poddodavatelem a předat objednateli originály prohlášení poddodavatelů o součinnosti s koordinátorem BOZP. Povinnost identifikovat poddodavatele se považuje za splněnou, jsou-li tyto údaje uvedeny ve stavebním deníku.</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Zhotovitel se zavazuje realizovat dílo prostřednictvím osob, kterými byla v rámci zadávacího řízení na výběr zhotovitele stavby prokazována kvalifikace</w:t>
      </w:r>
      <w:r>
        <w:rPr>
          <w:rFonts w:eastAsia="Calibri" w:cs="Tahoma" w:ascii="Tahoma" w:hAnsi="Tahoma"/>
          <w:sz w:val="22"/>
          <w:szCs w:val="22"/>
          <w:lang w:eastAsia="en-US"/>
        </w:rPr>
        <w:t xml:space="preserve"> </w:t>
      </w:r>
      <w:r>
        <w:rPr>
          <w:rFonts w:cs="Tahoma" w:ascii="Tahoma" w:hAnsi="Tahoma"/>
          <w:sz w:val="22"/>
          <w:szCs w:val="22"/>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a v případě, že odborná osoba je poddodavatelem zhotovitele, také originály prohlášení poddodavatelů o součinnosti s koordinátorem BOZP.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pPr>
        <w:pStyle w:val="Smlouva-slo1"/>
        <w:spacing w:lineRule="auto" w:line="240"/>
        <w:ind w:left="357"/>
        <w:rPr>
          <w:rFonts w:ascii="Tahoma" w:hAnsi="Tahoma" w:cs="Tahoma"/>
          <w:sz w:val="22"/>
          <w:szCs w:val="22"/>
        </w:rPr>
      </w:pPr>
      <w:r>
        <w:rPr>
          <w:rFonts w:cs="Tahoma" w:ascii="Tahoma" w:hAnsi="Tahoma"/>
          <w:sz w:val="22"/>
          <w:szCs w:val="22"/>
        </w:rPr>
        <w:t xml:space="preserve">Osobou stavbyvedoucího (osoba odpovědná za odborné vedení stavby) je </w:t>
      </w:r>
      <w:r>
        <w:rPr>
          <w:rFonts w:cs="Tahoma" w:ascii="Tahoma" w:hAnsi="Tahoma"/>
          <w:sz w:val="22"/>
          <w:szCs w:val="22"/>
          <w:highlight w:val="yellow"/>
        </w:rPr>
        <w:t>………</w:t>
      </w:r>
      <w:r>
        <w:rPr>
          <w:rFonts w:cs="Tahoma" w:ascii="Tahoma" w:hAnsi="Tahoma"/>
          <w:sz w:val="22"/>
          <w:szCs w:val="22"/>
        </w:rPr>
        <w:t xml:space="preserve">  a v případě jeho odvolání zástupce stavbyvedoucího je </w:t>
      </w:r>
      <w:r>
        <w:rPr>
          <w:rFonts w:cs="Tahoma" w:ascii="Tahoma" w:hAnsi="Tahoma"/>
          <w:sz w:val="22"/>
          <w:szCs w:val="22"/>
          <w:highlight w:val="yellow"/>
        </w:rPr>
        <w:t>………</w:t>
      </w:r>
      <w:r>
        <w:rPr>
          <w:rFonts w:cs="Tahoma" w:ascii="Tahoma" w:hAnsi="Tahoma"/>
          <w:sz w:val="22"/>
          <w:szCs w:val="22"/>
        </w:rPr>
        <w:t xml:space="preserve"> Osoba stavbyvedoucího musí být přítomna na všech kontrolních dnech, při předávání prací, které budou následným postupem zakryty a při všech požadovaných technologických zkouškách.  </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Zhotovitel se zavazuje realizovat práce vyžadující zvláštní způsobilost nebo povolení podle příslušných předpisů osobami, které tuto podmínku splňují.</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Zhotovitel nejméně 15 pracovních dnů předem oznámí správcům sítí a osobě vykonávající technický dozor stavebníka práci v ochranném pásmu či křížení těchto sítí ke kontrole průběhu prací a převzetí před zpětným zásypem.</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Zhotovitel je srozuměn s tím, že uhradí jakoukoliv opravu nebo výměnu plynoucí ze zhotovitelem zaviněného poškození inženýrské sítě. Zhotovitel si je rovněž vědom toho, že nese veškerá rizika a náhrady škod z toho plynoucí.</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Zhotovitel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Zhotovitel se zavazuje po celou dobu realizace stavby aktivně spolupracovat s projektantem a osobou vykonávající činnost autorského dozoru projektanta při realizaci stavby. V případě zjištění rozporu platné projektové dokumentace se skutečností na stavbě je zhotovitel povinen zjištěné rozpory řešit ve spolupráci s projektantem, a to bezodkladně.</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Bourací práce způsobující hluk nebo prach budou realizovány pouze po předchozím oznámení objednateli.</w:t>
      </w:r>
    </w:p>
    <w:p>
      <w:pPr>
        <w:pStyle w:val="Smlouva-slo1"/>
        <w:numPr>
          <w:ilvl w:val="0"/>
          <w:numId w:val="7"/>
        </w:numPr>
        <w:spacing w:lineRule="auto" w:line="240"/>
        <w:rPr>
          <w:rFonts w:ascii="Tahoma" w:hAnsi="Tahoma" w:cs="Tahoma"/>
          <w:sz w:val="22"/>
          <w:szCs w:val="22"/>
        </w:rPr>
      </w:pPr>
      <w:r>
        <w:rPr>
          <w:rFonts w:cs="Tahoma" w:ascii="Tahoma" w:hAnsi="Tahoma"/>
          <w:sz w:val="22"/>
          <w:szCs w:val="22"/>
        </w:rPr>
        <w:t>Zhotovitel je povinen umožnit výkon technického dozoru stavebníka, autorského dozoru projektanta a výkon činnosti koordinátora BOZP a umožnit osobám, které je vykonávají, vstup na stavbu a staveniště</w:t>
      </w:r>
      <w:r>
        <w:rPr>
          <w:rFonts w:cs="Tahoma" w:ascii="Tahoma" w:hAnsi="Tahoma"/>
          <w:iCs/>
          <w:sz w:val="22"/>
          <w:szCs w:val="22"/>
        </w:rPr>
        <w:t>.</w:t>
      </w:r>
    </w:p>
    <w:p>
      <w:pPr>
        <w:pStyle w:val="Smlouva-slo1"/>
        <w:numPr>
          <w:ilvl w:val="0"/>
          <w:numId w:val="7"/>
        </w:numPr>
        <w:spacing w:lineRule="auto" w:line="240"/>
        <w:rPr>
          <w:rFonts w:ascii="Tahoma" w:hAnsi="Tahoma" w:cs="Tahoma"/>
          <w:sz w:val="22"/>
          <w:szCs w:val="22"/>
        </w:rPr>
      </w:pPr>
      <w:r>
        <w:rPr>
          <w:rFonts w:cs="Tahoma" w:ascii="Tahoma" w:hAnsi="Tahoma"/>
          <w:sz w:val="22"/>
          <w:szCs w:val="22"/>
        </w:rPr>
        <w:t>Zhotovitel ani osoba s ním propojená nesmí za objednatele vykonávat inženýrsko</w:t>
        <w:noBreakHyphen/>
        <w:t>investorskou činnost na stavbě (technický dozor stavebníka).</w:t>
      </w:r>
    </w:p>
    <w:p>
      <w:pPr>
        <w:pStyle w:val="Smlouva-slo1"/>
        <w:spacing w:lineRule="auto" w:line="240"/>
        <w:ind w:hanging="357" w:left="357"/>
        <w:rPr>
          <w:rFonts w:ascii="Tahoma" w:hAnsi="Tahoma" w:cs="Tahoma"/>
          <w:bCs/>
          <w:caps/>
          <w:sz w:val="22"/>
          <w:szCs w:val="22"/>
        </w:rPr>
      </w:pPr>
      <w:r>
        <w:rPr>
          <w:rFonts w:cs="Tahoma" w:ascii="Tahoma" w:hAnsi="Tahoma"/>
          <w:bCs/>
          <w:caps/>
          <w:sz w:val="22"/>
          <w:szCs w:val="22"/>
        </w:rPr>
        <w:t>Kontrola prováděných prací, organizace kontrolních dnů</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Kontrola prováděných prací bude realizována:</w:t>
      </w:r>
    </w:p>
    <w:p>
      <w:pPr>
        <w:pStyle w:val="Smlouva-slo1"/>
        <w:numPr>
          <w:ilvl w:val="0"/>
          <w:numId w:val="26"/>
        </w:numPr>
        <w:tabs>
          <w:tab w:val="clear" w:pos="709"/>
          <w:tab w:val="left" w:pos="720" w:leader="none"/>
        </w:tabs>
        <w:spacing w:lineRule="auto" w:line="240"/>
        <w:ind w:hanging="357" w:left="714"/>
        <w:rPr>
          <w:rFonts w:ascii="Tahoma" w:hAnsi="Tahoma" w:cs="Tahoma"/>
          <w:sz w:val="22"/>
          <w:szCs w:val="22"/>
        </w:rPr>
      </w:pPr>
      <w:r>
        <w:rPr>
          <w:rFonts w:cs="Tahoma" w:ascii="Tahoma" w:hAnsi="Tahoma"/>
          <w:sz w:val="22"/>
          <w:szCs w:val="22"/>
        </w:rPr>
        <w:t>osobou vykonávající technický dozor stavebníka,</w:t>
      </w:r>
    </w:p>
    <w:p>
      <w:pPr>
        <w:pStyle w:val="Smlouva-slo1"/>
        <w:numPr>
          <w:ilvl w:val="0"/>
          <w:numId w:val="26"/>
        </w:numPr>
        <w:tabs>
          <w:tab w:val="clear" w:pos="709"/>
          <w:tab w:val="left" w:pos="720" w:leader="none"/>
        </w:tabs>
        <w:spacing w:lineRule="auto" w:line="240"/>
        <w:ind w:hanging="357" w:left="714"/>
        <w:rPr>
          <w:rFonts w:ascii="Tahoma" w:hAnsi="Tahoma" w:cs="Tahoma"/>
          <w:sz w:val="22"/>
          <w:szCs w:val="22"/>
        </w:rPr>
      </w:pPr>
      <w:r>
        <w:rPr>
          <w:rFonts w:cs="Tahoma" w:ascii="Tahoma" w:hAnsi="Tahoma"/>
          <w:sz w:val="22"/>
          <w:szCs w:val="22"/>
        </w:rPr>
        <w:t>osobou vykonávající činnost autorského dozoru projektanta,</w:t>
      </w:r>
    </w:p>
    <w:p>
      <w:pPr>
        <w:pStyle w:val="Smlouva-slo1"/>
        <w:numPr>
          <w:ilvl w:val="0"/>
          <w:numId w:val="26"/>
        </w:numPr>
        <w:tabs>
          <w:tab w:val="clear" w:pos="709"/>
          <w:tab w:val="left" w:pos="720" w:leader="none"/>
        </w:tabs>
        <w:spacing w:lineRule="auto" w:line="240"/>
        <w:ind w:hanging="357" w:left="714"/>
        <w:rPr>
          <w:rFonts w:ascii="Tahoma" w:hAnsi="Tahoma" w:cs="Tahoma"/>
          <w:sz w:val="22"/>
          <w:szCs w:val="22"/>
        </w:rPr>
      </w:pPr>
      <w:r>
        <w:rPr>
          <w:rFonts w:cs="Tahoma" w:ascii="Tahoma" w:hAnsi="Tahoma"/>
          <w:sz w:val="22"/>
          <w:szCs w:val="22"/>
        </w:rPr>
        <w:t>koordinátorem BOZP,</w:t>
      </w:r>
    </w:p>
    <w:p>
      <w:pPr>
        <w:pStyle w:val="Smlouva-slo1"/>
        <w:numPr>
          <w:ilvl w:val="0"/>
          <w:numId w:val="26"/>
        </w:numPr>
        <w:tabs>
          <w:tab w:val="clear" w:pos="709"/>
          <w:tab w:val="left" w:pos="720" w:leader="none"/>
        </w:tabs>
        <w:spacing w:lineRule="auto" w:line="240"/>
        <w:ind w:hanging="357" w:left="714"/>
        <w:rPr>
          <w:rFonts w:ascii="Tahoma" w:hAnsi="Tahoma" w:cs="Tahoma"/>
          <w:sz w:val="22"/>
          <w:szCs w:val="22"/>
        </w:rPr>
      </w:pPr>
      <w:r>
        <w:rPr>
          <w:rFonts w:cs="Tahoma" w:ascii="Tahoma" w:hAnsi="Tahoma"/>
          <w:sz w:val="22"/>
          <w:szCs w:val="22"/>
        </w:rPr>
        <w:t>orgány státní správy oprávněnými ke kontrole na základě zvláštních předpisů,</w:t>
      </w:r>
    </w:p>
    <w:p>
      <w:pPr>
        <w:pStyle w:val="Smlouva-slo1"/>
        <w:spacing w:lineRule="auto" w:line="240"/>
        <w:ind w:left="360"/>
        <w:rPr>
          <w:rFonts w:ascii="Tahoma" w:hAnsi="Tahoma" w:cs="Tahoma"/>
          <w:sz w:val="22"/>
          <w:szCs w:val="22"/>
        </w:rPr>
      </w:pPr>
      <w:r>
        <w:rPr>
          <w:rFonts w:cs="Tahoma" w:ascii="Tahoma" w:hAnsi="Tahoma"/>
          <w:sz w:val="22"/>
          <w:szCs w:val="22"/>
        </w:rPr>
        <w:t>Dále může provádět kontrolu objednatel a jím pověřené osoby.</w:t>
      </w:r>
    </w:p>
    <w:p>
      <w:pPr>
        <w:pStyle w:val="Smlouva-slo1"/>
        <w:spacing w:lineRule="auto" w:line="240"/>
        <w:ind w:firstLine="357"/>
        <w:rPr>
          <w:rFonts w:ascii="Tahoma" w:hAnsi="Tahoma" w:cs="Tahoma"/>
          <w:sz w:val="22"/>
          <w:szCs w:val="22"/>
        </w:rPr>
      </w:pPr>
      <w:r>
        <w:rPr>
          <w:rFonts w:cs="Tahoma" w:ascii="Tahoma" w:hAnsi="Tahoma"/>
          <w:sz w:val="22"/>
          <w:szCs w:val="22"/>
        </w:rPr>
        <w:t>Zhotovitel je povinen umožnit uvedeným osobám provedení kontroly realizovaných prací.</w:t>
      </w:r>
    </w:p>
    <w:p>
      <w:pPr>
        <w:pStyle w:val="Normal"/>
        <w:widowControl w:val="false"/>
        <w:numPr>
          <w:ilvl w:val="0"/>
          <w:numId w:val="7"/>
        </w:numPr>
        <w:spacing w:before="60" w:after="0"/>
        <w:jc w:val="both"/>
        <w:rPr>
          <w:rFonts w:ascii="Tahoma" w:hAnsi="Tahoma" w:cs="Tahoma"/>
          <w:sz w:val="22"/>
          <w:szCs w:val="22"/>
        </w:rPr>
      </w:pPr>
      <w:r>
        <w:rPr>
          <w:rFonts w:cs="Tahoma" w:ascii="Tahoma" w:hAnsi="Tahoma"/>
          <w:sz w:val="22"/>
          <w:szCs w:val="22"/>
        </w:rPr>
        <w:t>Osoba vykonávající technický dozor stavebníka a funkci koordinátora BOZP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Kontrola prováděných prací bude realizována zejména v rámci kontrolních dnů, s tím, že:</w:t>
      </w:r>
    </w:p>
    <w:p>
      <w:pPr>
        <w:pStyle w:val="Smlouva-slo1"/>
        <w:numPr>
          <w:ilvl w:val="0"/>
          <w:numId w:val="26"/>
        </w:numPr>
        <w:tabs>
          <w:tab w:val="clear" w:pos="709"/>
          <w:tab w:val="left" w:pos="720" w:leader="none"/>
        </w:tabs>
        <w:spacing w:lineRule="auto" w:line="240"/>
        <w:ind w:hanging="357" w:left="714"/>
        <w:rPr>
          <w:rFonts w:ascii="Tahoma" w:hAnsi="Tahoma" w:cs="Tahoma"/>
          <w:sz w:val="22"/>
          <w:szCs w:val="22"/>
        </w:rPr>
      </w:pPr>
      <w:r>
        <w:rPr>
          <w:rFonts w:cs="Tahoma" w:ascii="Tahoma" w:hAnsi="Tahoma"/>
          <w:sz w:val="22"/>
          <w:szCs w:val="22"/>
        </w:rPr>
        <w:t>kontrolní dny se budou konat dle potřeby, zpravidla jednou týdně,</w:t>
      </w:r>
    </w:p>
    <w:p>
      <w:pPr>
        <w:pStyle w:val="Smlouva-slo1"/>
        <w:numPr>
          <w:ilvl w:val="0"/>
          <w:numId w:val="26"/>
        </w:numPr>
        <w:tabs>
          <w:tab w:val="clear" w:pos="709"/>
          <w:tab w:val="left" w:pos="720" w:leader="none"/>
        </w:tabs>
        <w:spacing w:lineRule="auto" w:line="240"/>
        <w:ind w:hanging="357" w:left="714"/>
        <w:rPr>
          <w:rFonts w:ascii="Tahoma" w:hAnsi="Tahoma" w:cs="Tahoma"/>
          <w:sz w:val="22"/>
          <w:szCs w:val="22"/>
        </w:rPr>
      </w:pPr>
      <w:r>
        <w:rPr>
          <w:rFonts w:cs="Tahoma" w:ascii="Tahoma" w:hAnsi="Tahoma"/>
          <w:sz w:val="22"/>
          <w:szCs w:val="22"/>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pPr>
        <w:pStyle w:val="Smlouva-slo1"/>
        <w:numPr>
          <w:ilvl w:val="0"/>
          <w:numId w:val="26"/>
        </w:numPr>
        <w:tabs>
          <w:tab w:val="clear" w:pos="709"/>
          <w:tab w:val="left" w:pos="720" w:leader="none"/>
        </w:tabs>
        <w:spacing w:lineRule="auto" w:line="240"/>
        <w:ind w:hanging="357" w:left="714"/>
        <w:rPr>
          <w:rFonts w:ascii="Tahoma" w:hAnsi="Tahoma" w:cs="Tahoma"/>
          <w:sz w:val="22"/>
          <w:szCs w:val="22"/>
        </w:rPr>
      </w:pPr>
      <w:r>
        <w:rPr>
          <w:rFonts w:cs="Tahoma" w:ascii="Tahoma" w:hAnsi="Tahoma"/>
          <w:sz w:val="22"/>
          <w:szCs w:val="22"/>
        </w:rPr>
        <w:t>kontrolní dny budou řízeny osobou vykonávající technický dozor stavebníka,</w:t>
      </w:r>
    </w:p>
    <w:p>
      <w:pPr>
        <w:pStyle w:val="Smlouva-slo1"/>
        <w:numPr>
          <w:ilvl w:val="0"/>
          <w:numId w:val="26"/>
        </w:numPr>
        <w:tabs>
          <w:tab w:val="clear" w:pos="709"/>
          <w:tab w:val="left" w:pos="720" w:leader="none"/>
        </w:tabs>
        <w:spacing w:lineRule="auto" w:line="240"/>
        <w:ind w:hanging="357" w:left="714"/>
        <w:rPr>
          <w:rFonts w:ascii="Tahoma" w:hAnsi="Tahoma" w:cs="Tahoma"/>
          <w:sz w:val="22"/>
          <w:szCs w:val="22"/>
        </w:rPr>
      </w:pPr>
      <w:r>
        <w:rPr>
          <w:rFonts w:cs="Tahoma" w:ascii="Tahoma" w:hAnsi="Tahoma"/>
          <w:sz w:val="22"/>
          <w:szCs w:val="22"/>
        </w:rPr>
        <w:t>z kontrolních dnů budou osobou vykonávající technický dozor stavebníka pořizovány zápisy, které budou zhotoviteli zasílány v elektronické podobě.</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Zhotovitel písemně vyzve osobu vykonávající technický dozor stavebníka nejméně 3 pracovní dny předem k prověření kvality prací, jež budou dalším postupem při zhotovování díla zakryty.</w:t>
      </w:r>
    </w:p>
    <w:p>
      <w:pPr>
        <w:pStyle w:val="Smlouva-slo1"/>
        <w:spacing w:lineRule="auto" w:line="240" w:before="60" w:after="0"/>
        <w:ind w:left="357"/>
        <w:rPr>
          <w:rFonts w:ascii="Tahoma" w:hAnsi="Tahoma" w:cs="Tahoma"/>
          <w:sz w:val="22"/>
          <w:szCs w:val="22"/>
        </w:rPr>
      </w:pPr>
      <w:r>
        <w:rPr>
          <w:rFonts w:cs="Tahoma" w:ascii="Tahoma" w:hAnsi="Tahoma"/>
          <w:sz w:val="22"/>
          <w:szCs w:val="22"/>
        </w:rPr>
        <w:t>V případě, že se na tuto výzvu osoba vykonávající technický dozor stavebníka bez vážných důvodů nedostaví, může zhotovitel pokračovat v provádění díla po předchozím písemném upozornění objednatele a předmětné práce zakrýt. Bude</w:t>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pPr>
        <w:pStyle w:val="Smlouva-slo1"/>
        <w:spacing w:lineRule="auto" w:line="240" w:before="60" w:after="0"/>
        <w:ind w:left="357"/>
        <w:rPr>
          <w:rFonts w:ascii="Tahoma" w:hAnsi="Tahoma" w:cs="Tahoma"/>
          <w:sz w:val="22"/>
          <w:szCs w:val="22"/>
        </w:rPr>
      </w:pPr>
      <w:r>
        <w:rPr>
          <w:rFonts w:cs="Tahoma" w:ascii="Tahoma" w:hAnsi="Tahoma"/>
          <w:sz w:val="22"/>
          <w:szCs w:val="22"/>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pPr>
        <w:pStyle w:val="Smlouva-slo1"/>
        <w:numPr>
          <w:ilvl w:val="0"/>
          <w:numId w:val="7"/>
        </w:numPr>
        <w:spacing w:lineRule="auto" w:line="240"/>
        <w:rPr>
          <w:rFonts w:ascii="Tahoma" w:hAnsi="Tahoma" w:cs="Tahoma"/>
          <w:sz w:val="22"/>
          <w:szCs w:val="22"/>
        </w:rPr>
      </w:pPr>
      <w:r>
        <w:rPr>
          <w:rFonts w:cs="Tahoma" w:ascii="Tahoma" w:hAnsi="Tahoma"/>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pPr>
        <w:pStyle w:val="Smlouva-slo1"/>
        <w:spacing w:lineRule="auto" w:line="240" w:before="60" w:after="0"/>
        <w:ind w:left="357"/>
        <w:rPr>
          <w:rFonts w:ascii="Tahoma" w:hAnsi="Tahoma" w:cs="Tahoma"/>
          <w:sz w:val="22"/>
          <w:szCs w:val="22"/>
        </w:rPr>
      </w:pPr>
      <w:r>
        <w:rPr>
          <w:rFonts w:cs="Tahoma" w:ascii="Tahoma" w:hAnsi="Tahoma"/>
          <w:sz w:val="22"/>
          <w:szCs w:val="22"/>
        </w:rPr>
        <w:t>Zhotovitel je povinen zavázat k součinnosti s koordinátorem BOZP všechny své poddodavatele a osoby, které budou provádět činnosti na staveništi.</w:t>
      </w:r>
    </w:p>
    <w:p>
      <w:pPr>
        <w:pStyle w:val="Smlouva-slo1"/>
        <w:spacing w:lineRule="auto" w:line="240" w:before="60" w:after="0"/>
        <w:ind w:left="357"/>
        <w:rPr>
          <w:rFonts w:ascii="Tahoma" w:hAnsi="Tahoma" w:cs="Tahoma"/>
          <w:sz w:val="22"/>
          <w:szCs w:val="22"/>
        </w:rPr>
      </w:pPr>
      <w:r>
        <w:rPr>
          <w:rFonts w:cs="Tahoma" w:ascii="Tahoma" w:hAnsi="Tahoma"/>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pPr>
        <w:pStyle w:val="Normal"/>
        <w:widowControl w:val="false"/>
        <w:numPr>
          <w:ilvl w:val="0"/>
          <w:numId w:val="7"/>
        </w:numPr>
        <w:spacing w:before="120" w:after="0"/>
        <w:jc w:val="both"/>
        <w:rPr>
          <w:rFonts w:ascii="Tahoma" w:hAnsi="Tahoma" w:cs="Tahoma"/>
          <w:sz w:val="22"/>
          <w:szCs w:val="22"/>
        </w:rPr>
      </w:pPr>
      <w:r>
        <w:rPr>
          <w:rFonts w:cs="Tahoma" w:ascii="Tahoma" w:hAnsi="Tahoma"/>
          <w:sz w:val="22"/>
          <w:szCs w:val="22"/>
        </w:rPr>
        <w:t>Zhotovitel se zavazuje zúčastnit se na výzvu objednatele závěrečné kontrolní prohlídky stavby nebo místního šetření v rámci kolaudačního řízení podle stavebního zákona, pokud bude probíhat.</w:t>
      </w:r>
    </w:p>
    <w:p>
      <w:pPr>
        <w:pStyle w:val="Normal"/>
        <w:keepNext w:val="true"/>
        <w:spacing w:before="360" w:after="0"/>
        <w:jc w:val="center"/>
        <w:rPr>
          <w:rFonts w:ascii="Tahoma" w:hAnsi="Tahoma" w:cs="Tahoma"/>
          <w:b/>
          <w:sz w:val="22"/>
          <w:szCs w:val="22"/>
        </w:rPr>
      </w:pPr>
      <w:r>
        <w:rPr>
          <w:rFonts w:cs="Tahoma" w:ascii="Tahoma" w:hAnsi="Tahoma"/>
          <w:b/>
          <w:sz w:val="22"/>
          <w:szCs w:val="22"/>
        </w:rPr>
        <w:t>X.</w:t>
        <w:br/>
        <w:t>Stavební deník</w:t>
      </w:r>
    </w:p>
    <w:p>
      <w:pPr>
        <w:pStyle w:val="Smlouva3"/>
        <w:numPr>
          <w:ilvl w:val="2"/>
          <w:numId w:val="8"/>
        </w:numPr>
        <w:tabs>
          <w:tab w:val="clear" w:pos="709"/>
        </w:tabs>
        <w:ind w:hanging="357" w:left="357"/>
        <w:rPr>
          <w:rFonts w:ascii="Tahoma" w:hAnsi="Tahoma" w:cs="Tahoma"/>
          <w:sz w:val="22"/>
          <w:szCs w:val="22"/>
        </w:rPr>
      </w:pPr>
      <w:r>
        <w:rPr>
          <w:rFonts w:cs="Tahoma" w:ascii="Tahoma" w:hAnsi="Tahoma"/>
          <w:sz w:val="22"/>
          <w:szCs w:val="22"/>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ve znění pozdějších předpisů.</w:t>
      </w:r>
    </w:p>
    <w:p>
      <w:pPr>
        <w:pStyle w:val="Smlouva3"/>
        <w:numPr>
          <w:ilvl w:val="2"/>
          <w:numId w:val="8"/>
        </w:numPr>
        <w:tabs>
          <w:tab w:val="clear" w:pos="709"/>
        </w:tabs>
        <w:ind w:hanging="357" w:left="357"/>
        <w:rPr>
          <w:rFonts w:ascii="Tahoma" w:hAnsi="Tahoma" w:cs="Tahoma"/>
          <w:sz w:val="22"/>
          <w:szCs w:val="22"/>
        </w:rPr>
      </w:pPr>
      <w:r>
        <w:rPr>
          <w:rFonts w:cs="Tahoma" w:ascii="Tahoma" w:hAnsi="Tahoma"/>
          <w:sz w:val="22"/>
          <w:szCs w:val="22"/>
        </w:rPr>
        <w:t>Zápisem ve stavebním deníku nelze obsah této smlouvy měnit.</w:t>
      </w:r>
    </w:p>
    <w:p>
      <w:pPr>
        <w:pStyle w:val="Normal"/>
        <w:spacing w:before="360" w:after="0"/>
        <w:jc w:val="center"/>
        <w:rPr>
          <w:rFonts w:ascii="Tahoma" w:hAnsi="Tahoma" w:cs="Tahoma"/>
          <w:b/>
          <w:sz w:val="22"/>
          <w:szCs w:val="22"/>
        </w:rPr>
      </w:pPr>
      <w:r>
        <w:rPr>
          <w:rFonts w:cs="Tahoma" w:ascii="Tahoma" w:hAnsi="Tahoma"/>
          <w:b/>
          <w:sz w:val="22"/>
          <w:szCs w:val="22"/>
        </w:rPr>
        <w:t>XI.</w:t>
        <w:br/>
        <w:t>Předání díla</w:t>
      </w:r>
    </w:p>
    <w:p>
      <w:pPr>
        <w:pStyle w:val="Normal"/>
        <w:widowControl w:val="false"/>
        <w:numPr>
          <w:ilvl w:val="0"/>
          <w:numId w:val="9"/>
        </w:numPr>
        <w:tabs>
          <w:tab w:val="clear" w:pos="709"/>
        </w:tabs>
        <w:spacing w:before="120" w:after="0"/>
        <w:jc w:val="both"/>
        <w:rPr>
          <w:rFonts w:ascii="Tahoma" w:hAnsi="Tahoma" w:cs="Tahoma"/>
          <w:sz w:val="22"/>
          <w:szCs w:val="22"/>
        </w:rPr>
      </w:pPr>
      <w:r>
        <w:rPr>
          <w:rFonts w:cs="Tahoma" w:ascii="Tahoma" w:hAnsi="Tahoma"/>
          <w:sz w:val="22"/>
          <w:szCs w:val="22"/>
        </w:rPr>
        <w:t>Přejímací řízení bude objednatelem zahájeno do 5 pracovních dnů po obdržení písemné výzvy zhotovitele k převzetí dokončeného díla. Písemná výzva bude zaslána zhotovitelem také osobě vykonávající technický dozor stavebníka a autorskému dozoru projektanta.</w:t>
      </w:r>
    </w:p>
    <w:p>
      <w:pPr>
        <w:pStyle w:val="Normal"/>
        <w:widowControl w:val="false"/>
        <w:numPr>
          <w:ilvl w:val="0"/>
          <w:numId w:val="9"/>
        </w:numPr>
        <w:tabs>
          <w:tab w:val="clear" w:pos="709"/>
        </w:tabs>
        <w:spacing w:before="120" w:after="0"/>
        <w:ind w:hanging="357" w:left="357"/>
        <w:jc w:val="both"/>
        <w:rPr>
          <w:rFonts w:ascii="Tahoma" w:hAnsi="Tahoma" w:cs="Tahoma"/>
          <w:sz w:val="22"/>
          <w:szCs w:val="22"/>
        </w:rPr>
      </w:pPr>
      <w:r>
        <w:rPr>
          <w:rFonts w:cs="Tahoma" w:ascii="Tahoma" w:hAnsi="Tahoma"/>
          <w:sz w:val="22"/>
          <w:szCs w:val="22"/>
        </w:rPr>
        <w:t>Objednatel se zavazuje dokončené dílo převzít do 10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pPr>
        <w:pStyle w:val="Normal"/>
        <w:widowControl w:val="false"/>
        <w:numPr>
          <w:ilvl w:val="0"/>
          <w:numId w:val="9"/>
        </w:numPr>
        <w:tabs>
          <w:tab w:val="clear" w:pos="709"/>
        </w:tabs>
        <w:spacing w:before="120" w:after="0"/>
        <w:ind w:hanging="357" w:left="357"/>
        <w:jc w:val="both"/>
        <w:rPr>
          <w:rFonts w:ascii="Tahoma" w:hAnsi="Tahoma" w:cs="Tahoma"/>
          <w:sz w:val="22"/>
          <w:szCs w:val="22"/>
        </w:rPr>
      </w:pPr>
      <w:r>
        <w:rPr>
          <w:rFonts w:cs="Tahoma" w:ascii="Tahoma" w:hAnsi="Tahoma"/>
          <w:sz w:val="22"/>
          <w:szCs w:val="22"/>
        </w:rPr>
        <w:t>O předání a převzetí díla bude sepsán protokol mezi objednatelem a zhotovitelem. Protokol připraví a sepíše osoba vykonávající technický dozor stavebníka.</w:t>
      </w:r>
    </w:p>
    <w:p>
      <w:pPr>
        <w:pStyle w:val="Normal"/>
        <w:widowControl w:val="false"/>
        <w:spacing w:before="120" w:after="0"/>
        <w:ind w:left="357"/>
        <w:jc w:val="both"/>
        <w:rPr>
          <w:rFonts w:ascii="Tahoma" w:hAnsi="Tahoma" w:cs="Tahoma"/>
          <w:sz w:val="22"/>
          <w:szCs w:val="22"/>
        </w:rPr>
      </w:pPr>
      <w:r>
        <w:rPr>
          <w:rFonts w:cs="Tahoma" w:ascii="Tahoma" w:hAnsi="Tahoma"/>
          <w:sz w:val="22"/>
          <w:szCs w:val="22"/>
        </w:rPr>
        <w:t>Protokol bude obsahovat:</w:t>
      </w:r>
    </w:p>
    <w:p>
      <w:pPr>
        <w:pStyle w:val="Smlouva-slo1"/>
        <w:numPr>
          <w:ilvl w:val="2"/>
          <w:numId w:val="10"/>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označení předmětu díla,</w:t>
      </w:r>
    </w:p>
    <w:p>
      <w:pPr>
        <w:pStyle w:val="Smlouva-slo1"/>
        <w:numPr>
          <w:ilvl w:val="2"/>
          <w:numId w:val="10"/>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označení objednatele a zhotovitele díla,</w:t>
      </w:r>
    </w:p>
    <w:p>
      <w:pPr>
        <w:pStyle w:val="Smlouva-slo1"/>
        <w:numPr>
          <w:ilvl w:val="2"/>
          <w:numId w:val="10"/>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číslo a datum uzavření smlouvy o dílo včetně čísel a dat uzavření jejích dodatků,</w:t>
      </w:r>
    </w:p>
    <w:p>
      <w:pPr>
        <w:pStyle w:val="Smlouva-slo1"/>
        <w:numPr>
          <w:ilvl w:val="2"/>
          <w:numId w:val="10"/>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datum vydání a číslo stavebního povolení/souhlasu stavebního úřadu s provedením ohlášené stavby, pokud byl vydán, případně datum podání ohlášení stavebnímu úřadu,</w:t>
      </w:r>
    </w:p>
    <w:p>
      <w:pPr>
        <w:pStyle w:val="Smlouva-slo1"/>
        <w:numPr>
          <w:ilvl w:val="2"/>
          <w:numId w:val="10"/>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datum vyklizení staveniště,</w:t>
      </w:r>
    </w:p>
    <w:p>
      <w:pPr>
        <w:pStyle w:val="Smlouva-slo1"/>
        <w:numPr>
          <w:ilvl w:val="2"/>
          <w:numId w:val="10"/>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datum ukončení záruky za jakost na dílo,</w:t>
      </w:r>
    </w:p>
    <w:p>
      <w:pPr>
        <w:pStyle w:val="Smlouva-slo1"/>
        <w:numPr>
          <w:ilvl w:val="2"/>
          <w:numId w:val="10"/>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soupis nákladů od zahájení po dokončení díla,</w:t>
      </w:r>
    </w:p>
    <w:p>
      <w:pPr>
        <w:pStyle w:val="Smlouva-slo1"/>
        <w:numPr>
          <w:ilvl w:val="2"/>
          <w:numId w:val="10"/>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datum zahájení a dokončení prací na zhotovovaném díle,</w:t>
      </w:r>
    </w:p>
    <w:p>
      <w:pPr>
        <w:pStyle w:val="Smlouva-slo1"/>
        <w:numPr>
          <w:ilvl w:val="2"/>
          <w:numId w:val="10"/>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seznam převzaté dokumentace od zhotovitele,</w:t>
      </w:r>
    </w:p>
    <w:p>
      <w:pPr>
        <w:pStyle w:val="Smlouva-slo1"/>
        <w:numPr>
          <w:ilvl w:val="2"/>
          <w:numId w:val="10"/>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prohlášení objednatele, že dílo přejímá (nepřejímá),</w:t>
      </w:r>
    </w:p>
    <w:p>
      <w:pPr>
        <w:pStyle w:val="Smlouva-slo1"/>
        <w:numPr>
          <w:ilvl w:val="2"/>
          <w:numId w:val="10"/>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datum a místo sepsání protokolu,</w:t>
      </w:r>
    </w:p>
    <w:p>
      <w:pPr>
        <w:pStyle w:val="Smlouva-slo1"/>
        <w:numPr>
          <w:ilvl w:val="2"/>
          <w:numId w:val="10"/>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v případě, je</w:t>
        <w:noBreakHyphen/>
        <w:t>li dílo přebíráno s vadami a nedodělky, uvedení, že je dílo přebíráno s výhradami a seznam vad a nedodělků, s nimiž bylo dílo převzato, včetně uvedení lhůty k odstranění těchto vad,</w:t>
      </w:r>
    </w:p>
    <w:p>
      <w:pPr>
        <w:pStyle w:val="Smlouva-slo1"/>
        <w:numPr>
          <w:ilvl w:val="2"/>
          <w:numId w:val="10"/>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jména a podpisy zástupců objednatele, zhotovitele a osoby vykonávající technický dozor stavebníka.</w:t>
      </w:r>
    </w:p>
    <w:p>
      <w:pPr>
        <w:pStyle w:val="Normal"/>
        <w:widowControl w:val="false"/>
        <w:numPr>
          <w:ilvl w:val="0"/>
          <w:numId w:val="9"/>
        </w:numPr>
        <w:tabs>
          <w:tab w:val="clear" w:pos="709"/>
        </w:tabs>
        <w:spacing w:before="120" w:after="0"/>
        <w:ind w:hanging="426" w:left="426"/>
        <w:jc w:val="both"/>
        <w:rPr>
          <w:rFonts w:ascii="Tahoma" w:hAnsi="Tahoma" w:cs="Tahoma"/>
          <w:sz w:val="22"/>
          <w:szCs w:val="22"/>
        </w:rPr>
      </w:pPr>
      <w:r>
        <w:rPr>
          <w:rFonts w:cs="Tahoma" w:ascii="Tahoma" w:hAnsi="Tahoma"/>
          <w:sz w:val="22"/>
          <w:szCs w:val="22"/>
        </w:rPr>
        <w:t>Zhotovitel je povinen provést předepsané zkoušky dle platných právních předpisů a technických norem. Úspěšné provedení těchto zkoušek je podmínkou převzetí díla.</w:t>
      </w:r>
    </w:p>
    <w:p>
      <w:pPr>
        <w:pStyle w:val="Normal"/>
        <w:widowControl w:val="false"/>
        <w:numPr>
          <w:ilvl w:val="0"/>
          <w:numId w:val="9"/>
        </w:numPr>
        <w:tabs>
          <w:tab w:val="clear" w:pos="709"/>
        </w:tabs>
        <w:spacing w:before="120" w:after="0"/>
        <w:ind w:hanging="357" w:left="357"/>
        <w:jc w:val="both"/>
        <w:rPr>
          <w:rFonts w:ascii="Tahoma" w:hAnsi="Tahoma" w:cs="Tahoma"/>
          <w:sz w:val="22"/>
          <w:szCs w:val="22"/>
        </w:rPr>
      </w:pPr>
      <w:r>
        <w:rPr>
          <w:rFonts w:cs="Tahoma" w:ascii="Tahoma" w:hAnsi="Tahoma"/>
          <w:sz w:val="22"/>
          <w:szCs w:val="22"/>
        </w:rPr>
        <w:t>Doklady o řádném provedení díla dle technických norem a předpisů, o provedených zkouškách, atestech a další dokumentaci podle této smlouvy včetně prohlášení o shodě a dokladů nutných k získání kolaudačního souhlasu, zhotovitel předá objednateli při předání díla. Zhotovitel také předá objednateli doklady, z nichž bude zřejmé naplnění podmínky, aby nejméně 70 % stavebního a demoličního odpadu (nikoliv nebezpečného a mimo kategorii 17 05 04) vzniklého na staveništi bylo předáno či zpracováno k opětovnému použití, recyklaci nebo jiným druhům materiálového využití. Pokud zhotovitel objednateli tyto doklady nepředá, objednatel dílo nepřevezme. Předáním díla objednateli není zhotovitel zbaven povinnosti doklady na výzvu objednatele doplnit..</w:t>
      </w:r>
    </w:p>
    <w:p>
      <w:pPr>
        <w:pStyle w:val="Normal"/>
        <w:widowControl w:val="false"/>
        <w:numPr>
          <w:ilvl w:val="0"/>
          <w:numId w:val="9"/>
        </w:numPr>
        <w:tabs>
          <w:tab w:val="clear" w:pos="709"/>
        </w:tabs>
        <w:spacing w:before="120" w:after="0"/>
        <w:ind w:hanging="357" w:left="357"/>
        <w:jc w:val="both"/>
        <w:rPr>
          <w:rFonts w:ascii="Tahoma" w:hAnsi="Tahoma" w:cs="Tahoma"/>
          <w:sz w:val="22"/>
          <w:szCs w:val="22"/>
        </w:rPr>
      </w:pPr>
      <w:r>
        <w:rPr>
          <w:rFonts w:cs="Tahoma" w:ascii="Tahoma" w:hAnsi="Tahoma"/>
          <w:sz w:val="22"/>
          <w:szCs w:val="22"/>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pPr>
        <w:pStyle w:val="Normal"/>
        <w:widowControl w:val="false"/>
        <w:numPr>
          <w:ilvl w:val="0"/>
          <w:numId w:val="9"/>
        </w:numPr>
        <w:tabs>
          <w:tab w:val="clear" w:pos="709"/>
        </w:tabs>
        <w:spacing w:before="120" w:after="0"/>
        <w:ind w:hanging="357" w:left="357"/>
        <w:jc w:val="both"/>
        <w:rPr>
          <w:rFonts w:ascii="Tahoma" w:hAnsi="Tahoma" w:cs="Tahoma"/>
          <w:sz w:val="22"/>
          <w:szCs w:val="22"/>
        </w:rPr>
      </w:pPr>
      <w:r>
        <w:rPr>
          <w:rFonts w:cs="Tahoma" w:ascii="Tahoma" w:hAnsi="Tahoma"/>
          <w:sz w:val="22"/>
          <w:szCs w:val="22"/>
        </w:rPr>
        <w:t>Smluvní strany tímto vylučují aplikaci ust. § 2605 odst. 2 občanského zákoníku na svůj právní vztah založený touto smlouvou.</w:t>
      </w:r>
    </w:p>
    <w:p>
      <w:pPr>
        <w:pStyle w:val="Normal"/>
        <w:keepNext w:val="true"/>
        <w:spacing w:before="360" w:after="0"/>
        <w:jc w:val="center"/>
        <w:rPr>
          <w:rFonts w:ascii="Tahoma" w:hAnsi="Tahoma" w:cs="Tahoma"/>
          <w:b/>
          <w:sz w:val="22"/>
          <w:szCs w:val="22"/>
        </w:rPr>
      </w:pPr>
      <w:r>
        <w:rPr>
          <w:rFonts w:cs="Tahoma" w:ascii="Tahoma" w:hAnsi="Tahoma"/>
          <w:b/>
          <w:sz w:val="22"/>
          <w:szCs w:val="22"/>
        </w:rPr>
        <w:t>XII.</w:t>
        <w:br/>
        <w:t>Práva z vadného plnění, záruka za jakost</w:t>
      </w:r>
    </w:p>
    <w:p>
      <w:pPr>
        <w:pStyle w:val="Normal"/>
        <w:numPr>
          <w:ilvl w:val="0"/>
          <w:numId w:val="11"/>
        </w:numPr>
        <w:tabs>
          <w:tab w:val="clear" w:pos="709"/>
        </w:tabs>
        <w:spacing w:before="120" w:after="0"/>
        <w:ind w:hanging="357" w:left="357"/>
        <w:jc w:val="both"/>
        <w:rPr>
          <w:rFonts w:ascii="Tahoma" w:hAnsi="Tahoma" w:cs="Tahoma"/>
          <w:sz w:val="22"/>
          <w:szCs w:val="22"/>
        </w:rPr>
      </w:pPr>
      <w:r>
        <w:rPr>
          <w:rFonts w:cs="Tahoma" w:ascii="Tahoma" w:hAnsi="Tahoma"/>
          <w:sz w:val="22"/>
          <w:szCs w:val="22"/>
        </w:rPr>
        <w:t>Dílo má vadu, jestliže neodpovídá požadavkům uvedeným v této smlouvě.</w:t>
      </w:r>
    </w:p>
    <w:p>
      <w:pPr>
        <w:pStyle w:val="Normal"/>
        <w:numPr>
          <w:ilvl w:val="0"/>
          <w:numId w:val="11"/>
        </w:numPr>
        <w:tabs>
          <w:tab w:val="clear" w:pos="709"/>
        </w:tabs>
        <w:spacing w:before="120" w:after="0"/>
        <w:ind w:hanging="357" w:left="357"/>
        <w:jc w:val="both"/>
        <w:rPr>
          <w:rFonts w:ascii="Tahoma" w:hAnsi="Tahoma" w:cs="Tahoma"/>
          <w:sz w:val="22"/>
          <w:szCs w:val="22"/>
        </w:rPr>
      </w:pPr>
      <w:r>
        <w:rPr>
          <w:rFonts w:cs="Tahoma" w:ascii="Tahoma" w:hAnsi="Tahoma"/>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noBreakHyphen/>
        <w:t>li se vada v průběhu 6 měsíců od převzetí díla objednatelem, má se zato, že dílo bylo vadné již při převzetí, neprokáže-li zhotovitel opak.</w:t>
      </w:r>
    </w:p>
    <w:p>
      <w:pPr>
        <w:pStyle w:val="Normal"/>
        <w:numPr>
          <w:ilvl w:val="0"/>
          <w:numId w:val="11"/>
        </w:numPr>
        <w:tabs>
          <w:tab w:val="clear" w:pos="709"/>
        </w:tabs>
        <w:spacing w:before="120" w:after="0"/>
        <w:ind w:hanging="357" w:left="357"/>
        <w:jc w:val="both"/>
        <w:rPr>
          <w:rFonts w:ascii="Tahoma" w:hAnsi="Tahoma" w:cs="Tahoma"/>
          <w:sz w:val="22"/>
          <w:szCs w:val="22"/>
        </w:rPr>
      </w:pPr>
      <w:r>
        <w:rPr>
          <w:rFonts w:cs="Tahoma" w:ascii="Tahoma" w:hAnsi="Tahoma"/>
          <w:sz w:val="22"/>
          <w:szCs w:val="22"/>
        </w:rPr>
        <w:t>Zhotovitel poskytuje objednateli na provedené dílo záruku za jakost (dále jen „záruka“) ve smyslu § 2619 a § 2113 a násl. občanského zákoníku, a to v délce 60 měsíců na provedené práce a dodávky (dále též „záruční doba“).</w:t>
      </w:r>
    </w:p>
    <w:p>
      <w:pPr>
        <w:pStyle w:val="Normal"/>
        <w:spacing w:before="120" w:after="0"/>
        <w:ind w:left="357"/>
        <w:jc w:val="both"/>
        <w:rPr>
          <w:rFonts w:ascii="Tahoma" w:hAnsi="Tahoma" w:cs="Tahoma"/>
          <w:sz w:val="22"/>
          <w:szCs w:val="22"/>
        </w:rPr>
      </w:pPr>
      <w:r>
        <w:rPr>
          <w:rFonts w:cs="Tahoma" w:ascii="Tahoma" w:hAnsi="Tahoma"/>
          <w:sz w:val="22"/>
          <w:szCs w:val="22"/>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pPr>
        <w:pStyle w:val="Normal"/>
        <w:numPr>
          <w:ilvl w:val="0"/>
          <w:numId w:val="11"/>
        </w:numPr>
        <w:tabs>
          <w:tab w:val="clear" w:pos="709"/>
        </w:tabs>
        <w:spacing w:before="120" w:after="0"/>
        <w:ind w:hanging="357" w:left="357"/>
        <w:jc w:val="both"/>
        <w:rPr>
          <w:rFonts w:ascii="Tahoma" w:hAnsi="Tahoma" w:cs="Tahoma"/>
          <w:sz w:val="22"/>
          <w:szCs w:val="22"/>
        </w:rPr>
      </w:pPr>
      <w:r>
        <w:rPr>
          <w:rFonts w:cs="Tahoma" w:ascii="Tahoma" w:hAnsi="Tahoma"/>
          <w:sz w:val="22"/>
          <w:szCs w:val="22"/>
        </w:rPr>
        <w:t>Vady a nedodělky díla z vadného plnění a  dále také vady, které se projeví během záruční doby, budou zhotovitelem odstraněny bezplatně, a to včetně všech potřebných náhradních dílů a dalšího materiálu.</w:t>
      </w:r>
    </w:p>
    <w:p>
      <w:pPr>
        <w:pStyle w:val="Normal"/>
        <w:numPr>
          <w:ilvl w:val="0"/>
          <w:numId w:val="11"/>
        </w:numPr>
        <w:tabs>
          <w:tab w:val="clear" w:pos="709"/>
        </w:tabs>
        <w:spacing w:before="120" w:after="0"/>
        <w:ind w:hanging="357" w:left="357"/>
        <w:jc w:val="both"/>
        <w:rPr>
          <w:rFonts w:ascii="Tahoma" w:hAnsi="Tahoma" w:cs="Tahoma"/>
          <w:sz w:val="22"/>
          <w:szCs w:val="22"/>
        </w:rPr>
      </w:pPr>
      <w:r>
        <w:rPr>
          <w:rFonts w:cs="Tahoma" w:ascii="Tahoma" w:hAnsi="Tahoma"/>
          <w:sz w:val="22"/>
          <w:szCs w:val="22"/>
        </w:rPr>
        <w:t>Veškeré vady díla bude objednatel povinen uplatnit u zhotovitele bez zbytečného odkladu poté, kdy vadu zjistil, a to formou písemného oznámení (za písemné oznámení se považuje i oznámení e</w:t>
        <w:noBreakHyphen/>
        <w:t>mailem), obsahujícího specifikaci zjištěné vady. Objednatel bude vady díla oznamovat na:</w:t>
      </w:r>
    </w:p>
    <w:p>
      <w:pPr>
        <w:pStyle w:val="Smlouva-slo1"/>
        <w:numPr>
          <w:ilvl w:val="1"/>
          <w:numId w:val="11"/>
        </w:numPr>
        <w:tabs>
          <w:tab w:val="clear" w:pos="709"/>
          <w:tab w:val="left" w:pos="720" w:leader="none"/>
          <w:tab w:val="left" w:pos="3119" w:leader="none"/>
        </w:tabs>
        <w:spacing w:lineRule="auto" w:line="240" w:before="60" w:after="0"/>
        <w:ind w:hanging="357" w:left="714"/>
        <w:jc w:val="left"/>
        <w:rPr>
          <w:rFonts w:ascii="Tahoma" w:hAnsi="Tahoma" w:cs="Tahoma"/>
          <w:sz w:val="22"/>
          <w:szCs w:val="22"/>
        </w:rPr>
      </w:pPr>
      <w:r>
        <w:rPr>
          <w:rFonts w:cs="Tahoma" w:ascii="Tahoma" w:hAnsi="Tahoma"/>
          <w:sz w:val="22"/>
          <w:szCs w:val="22"/>
        </w:rPr>
        <w:t>e</w:t>
        <w:noBreakHyphen/>
      </w:r>
      <w:r>
        <w:rPr>
          <w:rFonts w:cs="Tahoma" w:ascii="Tahoma" w:hAnsi="Tahoma"/>
          <w:bCs/>
          <w:sz w:val="22"/>
          <w:szCs w:val="22"/>
        </w:rPr>
        <w:t>mail</w:t>
      </w:r>
      <w:r>
        <w:rPr>
          <w:rFonts w:cs="Tahoma" w:ascii="Tahoma" w:hAnsi="Tahoma"/>
          <w:sz w:val="22"/>
          <w:szCs w:val="22"/>
        </w:rPr>
        <w:t>:</w:t>
        <w:tab/>
      </w:r>
      <w:r>
        <w:rPr>
          <w:rFonts w:cs="Tahoma" w:ascii="Tahoma" w:hAnsi="Tahoma"/>
          <w:bCs/>
          <w:sz w:val="22"/>
          <w:szCs w:val="22"/>
        </w:rPr>
        <w:t>…………………………, nebo</w:t>
      </w:r>
    </w:p>
    <w:p>
      <w:pPr>
        <w:pStyle w:val="Smlouva-slo1"/>
        <w:numPr>
          <w:ilvl w:val="1"/>
          <w:numId w:val="11"/>
        </w:numPr>
        <w:tabs>
          <w:tab w:val="clear" w:pos="709"/>
          <w:tab w:val="left" w:pos="720" w:leader="none"/>
          <w:tab w:val="left" w:pos="3119" w:leader="none"/>
        </w:tabs>
        <w:spacing w:lineRule="auto" w:line="240" w:before="60" w:after="0"/>
        <w:ind w:hanging="357" w:left="714"/>
        <w:jc w:val="left"/>
        <w:rPr>
          <w:rFonts w:ascii="Tahoma" w:hAnsi="Tahoma" w:cs="Tahoma"/>
          <w:sz w:val="22"/>
          <w:szCs w:val="22"/>
        </w:rPr>
      </w:pPr>
      <w:r>
        <w:rPr>
          <w:rFonts w:cs="Tahoma" w:ascii="Tahoma" w:hAnsi="Tahoma"/>
          <w:bCs/>
          <w:sz w:val="22"/>
          <w:szCs w:val="22"/>
        </w:rPr>
        <w:t>adresu</w:t>
      </w:r>
      <w:r>
        <w:rPr>
          <w:rFonts w:cs="Tahoma" w:ascii="Tahoma" w:hAnsi="Tahoma"/>
          <w:sz w:val="22"/>
          <w:szCs w:val="22"/>
        </w:rPr>
        <w:t>:</w:t>
        <w:tab/>
      </w:r>
      <w:r>
        <w:rPr>
          <w:rFonts w:cs="Tahoma" w:ascii="Tahoma" w:hAnsi="Tahoma"/>
          <w:bCs/>
          <w:sz w:val="22"/>
          <w:szCs w:val="22"/>
        </w:rPr>
        <w:t>…………………………, nebo</w:t>
      </w:r>
    </w:p>
    <w:p>
      <w:pPr>
        <w:pStyle w:val="Smlouva-slo1"/>
        <w:numPr>
          <w:ilvl w:val="1"/>
          <w:numId w:val="11"/>
        </w:numPr>
        <w:tabs>
          <w:tab w:val="clear" w:pos="709"/>
          <w:tab w:val="left" w:pos="720" w:leader="none"/>
          <w:tab w:val="left" w:pos="3119" w:leader="none"/>
        </w:tabs>
        <w:spacing w:lineRule="auto" w:line="240" w:before="60" w:after="0"/>
        <w:ind w:hanging="357" w:left="714"/>
        <w:jc w:val="left"/>
        <w:rPr>
          <w:rFonts w:ascii="Tahoma" w:hAnsi="Tahoma" w:cs="Tahoma"/>
          <w:sz w:val="22"/>
          <w:szCs w:val="22"/>
        </w:rPr>
      </w:pPr>
      <w:r>
        <w:rPr>
          <w:rFonts w:cs="Tahoma" w:ascii="Tahoma" w:hAnsi="Tahoma"/>
          <w:bCs/>
          <w:sz w:val="22"/>
          <w:szCs w:val="22"/>
        </w:rPr>
        <w:t>do datové schránky:</w:t>
        <w:tab/>
        <w:t xml:space="preserve">………………………… </w:t>
      </w:r>
      <w:r>
        <w:rPr>
          <w:rFonts w:cs="Tahoma" w:ascii="Tahoma" w:hAnsi="Tahoma"/>
          <w:i/>
          <w:iCs/>
          <w:color w:val="FF0000"/>
          <w:sz w:val="22"/>
          <w:szCs w:val="22"/>
        </w:rPr>
        <w:t>(doplní účastník/zhotovitel)</w:t>
      </w:r>
    </w:p>
    <w:p>
      <w:pPr>
        <w:pStyle w:val="Normal"/>
        <w:numPr>
          <w:ilvl w:val="0"/>
          <w:numId w:val="11"/>
        </w:numPr>
        <w:spacing w:before="120" w:after="0"/>
        <w:jc w:val="both"/>
        <w:rPr>
          <w:rFonts w:ascii="Tahoma" w:hAnsi="Tahoma" w:cs="Tahoma"/>
          <w:iCs/>
          <w:sz w:val="22"/>
          <w:szCs w:val="22"/>
        </w:rPr>
      </w:pPr>
      <w:r>
        <w:rPr>
          <w:rFonts w:cs="Tahoma" w:ascii="Tahoma" w:hAnsi="Tahoma"/>
          <w:sz w:val="22"/>
          <w:szCs w:val="22"/>
        </w:rPr>
        <w:t>Objednatel má právo na odstranění vady opravou; je</w:t>
        <w:noBreakHyphen/>
        <w:t>li vadné plnění podstatným porušením smlouvy, má také právo od smlouvy odstoupit. Právo volby plnění má objednatel.</w:t>
      </w:r>
    </w:p>
    <w:p>
      <w:pPr>
        <w:pStyle w:val="Normal"/>
        <w:numPr>
          <w:ilvl w:val="0"/>
          <w:numId w:val="11"/>
        </w:numPr>
        <w:tabs>
          <w:tab w:val="clear" w:pos="709"/>
        </w:tabs>
        <w:spacing w:before="120" w:after="0"/>
        <w:ind w:hanging="357" w:left="357"/>
        <w:jc w:val="both"/>
        <w:rPr>
          <w:rFonts w:ascii="Tahoma" w:hAnsi="Tahoma" w:cs="Tahoma"/>
          <w:sz w:val="22"/>
          <w:szCs w:val="22"/>
        </w:rPr>
      </w:pPr>
      <w:r>
        <w:rPr>
          <w:rFonts w:cs="Tahoma" w:ascii="Tahoma" w:hAnsi="Tahoma"/>
          <w:sz w:val="22"/>
          <w:szCs w:val="22"/>
        </w:rPr>
        <w:t>Zhotovitel započne s odstraněním vady nejpozději do </w:t>
      </w:r>
      <w:r>
        <w:rPr>
          <w:rFonts w:cs="Tahoma" w:ascii="Tahoma" w:hAnsi="Tahoma"/>
          <w:bCs/>
          <w:sz w:val="22"/>
          <w:szCs w:val="22"/>
        </w:rPr>
        <w:t>5</w:t>
      </w:r>
      <w:r>
        <w:rPr>
          <w:rFonts w:cs="Tahoma" w:ascii="Tahoma" w:hAnsi="Tahoma"/>
          <w:sz w:val="22"/>
          <w:szCs w:val="22"/>
        </w:rPr>
        <w:t xml:space="preserve"> pracovních </w:t>
      </w:r>
      <w:r>
        <w:rPr>
          <w:rFonts w:cs="Tahoma" w:ascii="Tahoma" w:hAnsi="Tahoma"/>
          <w:bCs/>
          <w:sz w:val="22"/>
          <w:szCs w:val="22"/>
        </w:rPr>
        <w:t>dnů</w:t>
      </w:r>
      <w:r>
        <w:rPr>
          <w:rFonts w:cs="Tahoma" w:ascii="Tahoma" w:hAnsi="Tahoma"/>
          <w:sz w:val="22"/>
          <w:szCs w:val="22"/>
        </w:rPr>
        <w:t xml:space="preserve"> od doručení oznámení o vadě, pokud se smluvní strany nedohodnou písemně jinak. V případě havárie započne s odstraněním vady neodkladně, nejpozději do </w:t>
      </w:r>
      <w:r>
        <w:rPr>
          <w:rFonts w:cs="Tahoma" w:ascii="Tahoma" w:hAnsi="Tahoma"/>
          <w:bCs/>
          <w:sz w:val="22"/>
          <w:szCs w:val="22"/>
        </w:rPr>
        <w:t xml:space="preserve">12 hodin </w:t>
      </w:r>
      <w:r>
        <w:rPr>
          <w:rFonts w:cs="Tahoma" w:ascii="Tahoma" w:hAnsi="Tahoma"/>
          <w:sz w:val="22"/>
          <w:szCs w:val="22"/>
        </w:rPr>
        <w:t>od doručení oznámení o vadě. Nezapočne</w:t>
        <w:noBreakHyphen/>
        <w:t>li zhotovitel s odstraněním vady ve stanovené lhůtě, je objednatel oprávněn zajistit odstranění vady na náklady zhotovitele u jiné odborné osoby. Vada bude odstraněna nejpozději do </w:t>
      </w:r>
      <w:r>
        <w:rPr>
          <w:rFonts w:cs="Tahoma" w:ascii="Tahoma" w:hAnsi="Tahoma"/>
          <w:bCs/>
          <w:sz w:val="22"/>
          <w:szCs w:val="22"/>
        </w:rPr>
        <w:t xml:space="preserve">10 pracovních dnů </w:t>
      </w:r>
      <w:r>
        <w:rPr>
          <w:rFonts w:cs="Tahoma" w:ascii="Tahoma" w:hAnsi="Tahoma"/>
          <w:sz w:val="22"/>
          <w:szCs w:val="22"/>
        </w:rPr>
        <w:t>ode dne doručení oznámení o vadě</w:t>
      </w:r>
      <w:r>
        <w:rPr>
          <w:rFonts w:cs="Tahoma" w:ascii="Tahoma" w:hAnsi="Tahoma"/>
          <w:iCs/>
          <w:sz w:val="22"/>
          <w:szCs w:val="22"/>
        </w:rPr>
        <w:t>,</w:t>
      </w:r>
      <w:r>
        <w:rPr>
          <w:rFonts w:cs="Tahoma" w:ascii="Tahoma" w:hAnsi="Tahoma"/>
          <w:sz w:val="22"/>
          <w:szCs w:val="22"/>
        </w:rPr>
        <w:t xml:space="preserve"> v případě havárie nejpozději do </w:t>
      </w:r>
      <w:r>
        <w:rPr>
          <w:rFonts w:cs="Tahoma" w:ascii="Tahoma" w:hAnsi="Tahoma"/>
          <w:bCs/>
          <w:sz w:val="22"/>
          <w:szCs w:val="22"/>
        </w:rPr>
        <w:t>72</w:t>
      </w:r>
      <w:r>
        <w:rPr>
          <w:rFonts w:cs="Tahoma" w:ascii="Tahoma" w:hAnsi="Tahoma"/>
          <w:b/>
          <w:sz w:val="22"/>
          <w:szCs w:val="22"/>
        </w:rPr>
        <w:t xml:space="preserve"> </w:t>
      </w:r>
      <w:r>
        <w:rPr>
          <w:rFonts w:cs="Tahoma" w:ascii="Tahoma" w:hAnsi="Tahoma"/>
          <w:bCs/>
          <w:sz w:val="22"/>
          <w:szCs w:val="22"/>
        </w:rPr>
        <w:t xml:space="preserve">hodin </w:t>
      </w:r>
      <w:r>
        <w:rPr>
          <w:rFonts w:cs="Tahoma" w:ascii="Tahoma" w:hAnsi="Tahoma"/>
          <w:sz w:val="22"/>
          <w:szCs w:val="22"/>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pPr>
        <w:pStyle w:val="Normal"/>
        <w:numPr>
          <w:ilvl w:val="0"/>
          <w:numId w:val="11"/>
        </w:numPr>
        <w:tabs>
          <w:tab w:val="clear" w:pos="709"/>
        </w:tabs>
        <w:spacing w:before="120" w:after="0"/>
        <w:ind w:hanging="357" w:left="357"/>
        <w:jc w:val="both"/>
        <w:rPr>
          <w:rFonts w:ascii="Tahoma" w:hAnsi="Tahoma" w:cs="Tahoma"/>
          <w:b/>
          <w:sz w:val="22"/>
          <w:szCs w:val="22"/>
        </w:rPr>
      </w:pPr>
      <w:r>
        <w:rPr>
          <w:rFonts w:cs="Tahoma" w:ascii="Tahoma" w:hAnsi="Tahoma"/>
          <w:sz w:val="22"/>
          <w:szCs w:val="22"/>
        </w:rPr>
        <w:t>Provedenou opravu vady zhotovitel objednateli předá písemně. Na provedenou opravu poskytne zhotovitel záruku za jakost v délce shodné s délkou sjednané záruky na dílo dle této smlouvy.</w:t>
      </w:r>
    </w:p>
    <w:p>
      <w:pPr>
        <w:pStyle w:val="Normal"/>
        <w:keepNext w:val="true"/>
        <w:spacing w:before="360" w:after="0"/>
        <w:jc w:val="center"/>
        <w:rPr>
          <w:rFonts w:ascii="Tahoma" w:hAnsi="Tahoma" w:cs="Tahoma"/>
          <w:b/>
          <w:sz w:val="22"/>
          <w:szCs w:val="22"/>
        </w:rPr>
      </w:pPr>
      <w:r>
        <w:rPr>
          <w:rFonts w:cs="Tahoma" w:ascii="Tahoma" w:hAnsi="Tahoma"/>
          <w:b/>
          <w:sz w:val="22"/>
          <w:szCs w:val="22"/>
        </w:rPr>
        <w:t>XIII.</w:t>
        <w:br/>
        <w:t>Vlastnické právo, nebezpečí škody</w:t>
      </w:r>
    </w:p>
    <w:p>
      <w:pPr>
        <w:pStyle w:val="Smlouva-slo1"/>
        <w:numPr>
          <w:ilvl w:val="0"/>
          <w:numId w:val="12"/>
        </w:numPr>
        <w:spacing w:lineRule="auto" w:line="240"/>
        <w:rPr>
          <w:rFonts w:ascii="Tahoma" w:hAnsi="Tahoma" w:cs="Tahoma"/>
          <w:sz w:val="22"/>
          <w:szCs w:val="22"/>
        </w:rPr>
      </w:pPr>
      <w:r>
        <w:rPr>
          <w:rFonts w:cs="Tahoma" w:ascii="Tahoma" w:hAnsi="Tahoma"/>
          <w:sz w:val="22"/>
          <w:szCs w:val="22"/>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pPr>
        <w:pStyle w:val="Smlouva-slo1"/>
        <w:numPr>
          <w:ilvl w:val="0"/>
          <w:numId w:val="12"/>
        </w:numPr>
        <w:tabs>
          <w:tab w:val="clear" w:pos="709"/>
        </w:tabs>
        <w:spacing w:lineRule="auto" w:line="240"/>
        <w:ind w:hanging="357" w:left="357"/>
        <w:rPr>
          <w:rFonts w:ascii="Tahoma" w:hAnsi="Tahoma" w:cs="Tahoma"/>
          <w:sz w:val="22"/>
          <w:szCs w:val="22"/>
        </w:rPr>
      </w:pPr>
      <w:r>
        <w:rPr>
          <w:rFonts w:cs="Tahoma" w:ascii="Tahoma" w:hAnsi="Tahoma"/>
          <w:sz w:val="22"/>
          <w:szCs w:val="22"/>
        </w:rPr>
        <w:t>Zhotovitel je povinen učinit veškerá opatření potřebná k odvrácení škody nebo k jejímu zmírnění.</w:t>
      </w:r>
    </w:p>
    <w:p>
      <w:pPr>
        <w:pStyle w:val="Smlouva-slo1"/>
        <w:numPr>
          <w:ilvl w:val="0"/>
          <w:numId w:val="12"/>
        </w:numPr>
        <w:tabs>
          <w:tab w:val="clear" w:pos="709"/>
        </w:tabs>
        <w:spacing w:lineRule="auto" w:line="240"/>
        <w:ind w:hanging="357" w:left="357"/>
        <w:rPr>
          <w:rFonts w:ascii="Tahoma" w:hAnsi="Tahoma" w:cs="Tahoma"/>
          <w:sz w:val="22"/>
          <w:szCs w:val="22"/>
        </w:rPr>
      </w:pPr>
      <w:r>
        <w:rPr>
          <w:rFonts w:cs="Tahoma" w:ascii="Tahoma" w:hAnsi="Tahoma"/>
          <w:sz w:val="22"/>
          <w:szCs w:val="22"/>
        </w:rPr>
        <w:t>Zhotovitel je povinen nahradit objednateli v plné výši škodu, která vznikla při realizaci a užívání díla v souvislosti nebo jako důsledek porušení povinností a závazků zhotovitele dle této smlouvy.</w:t>
      </w:r>
    </w:p>
    <w:p>
      <w:pPr>
        <w:pStyle w:val="Smlouva-slo1"/>
        <w:numPr>
          <w:ilvl w:val="0"/>
          <w:numId w:val="12"/>
        </w:numPr>
        <w:tabs>
          <w:tab w:val="clear" w:pos="709"/>
        </w:tabs>
        <w:spacing w:lineRule="auto" w:line="240"/>
        <w:ind w:hanging="357" w:left="357"/>
        <w:rPr>
          <w:rFonts w:ascii="Tahoma" w:hAnsi="Tahoma" w:cs="Tahoma"/>
          <w:sz w:val="22"/>
          <w:szCs w:val="22"/>
        </w:rPr>
      </w:pPr>
      <w:r>
        <w:rPr>
          <w:rFonts w:cs="Tahoma" w:ascii="Tahoma" w:hAnsi="Tahoma"/>
          <w:sz w:val="22"/>
          <w:szCs w:val="22"/>
        </w:rPr>
        <w:t>Zhotovitel se zavazuje, že po celou dobu realizace díla až do okamžiku převzetí díla objednatelem a odstranění případných vad a nedodělků, s nimiž bylo dílo převzato, bude mít na vlastní náklady sjednáno pojištění odpovědnosti za škodu způsobenou třetím osobám vyplývající z dodávaného předmětu plnění s limitem min. 2</w:t>
      </w:r>
      <w:r>
        <w:rPr>
          <w:rFonts w:cs="Tahoma" w:ascii="Tahoma" w:hAnsi="Tahoma"/>
          <w:sz w:val="22"/>
          <w:szCs w:val="22"/>
        </w:rPr>
        <w:t>0</w:t>
      </w:r>
      <w:r>
        <w:rPr>
          <w:rFonts w:cs="Tahoma" w:ascii="Tahoma" w:hAnsi="Tahoma"/>
          <w:sz w:val="22"/>
          <w:szCs w:val="22"/>
        </w:rPr>
        <w:t xml:space="preserve"> mil. Kč. Pojištění musí obsahovat krytí škod způsobené na majetku a zdraví třetích osob.</w:t>
      </w:r>
    </w:p>
    <w:p>
      <w:pPr>
        <w:pStyle w:val="Smlouva-slo1"/>
        <w:numPr>
          <w:ilvl w:val="0"/>
          <w:numId w:val="12"/>
        </w:numPr>
        <w:tabs>
          <w:tab w:val="clear" w:pos="709"/>
        </w:tabs>
        <w:spacing w:lineRule="auto" w:line="240"/>
        <w:ind w:hanging="357" w:left="357"/>
        <w:rPr>
          <w:rFonts w:ascii="Tahoma" w:hAnsi="Tahoma" w:cs="Tahoma"/>
          <w:sz w:val="22"/>
          <w:szCs w:val="22"/>
        </w:rPr>
      </w:pPr>
      <w:r>
        <w:rPr>
          <w:rFonts w:cs="Tahoma" w:ascii="Tahoma" w:hAnsi="Tahoma"/>
          <w:sz w:val="22"/>
          <w:szCs w:val="22"/>
        </w:rPr>
        <w:t>Zhotovitel je povinen předat objednateli při podpisu této smlouvy a dále na vyžádání objednatelem kdykoliv v průběhu provádění díla kopie pojistných smluv na požadovaná pojištění dle této smlouvy, včetně všech dodatků nebo certifikáty příslušných pojišťoven prokazující existenci pojištění po celou dobu provádění díla (dobu trvání pojištění, jeho rozsah, pojištěná rizika, pojistné částky, roční limity a sublimity plnění a výši spoluúčasti). Certifikát dle předchozí věty nesmí být starší jednoho měsíce.</w:t>
      </w:r>
    </w:p>
    <w:p>
      <w:pPr>
        <w:pStyle w:val="Normal"/>
        <w:keepNext w:val="true"/>
        <w:spacing w:before="360" w:after="0"/>
        <w:jc w:val="center"/>
        <w:rPr>
          <w:rFonts w:ascii="Tahoma" w:hAnsi="Tahoma" w:cs="Tahoma"/>
          <w:b/>
          <w:sz w:val="22"/>
          <w:szCs w:val="22"/>
        </w:rPr>
      </w:pPr>
      <w:r>
        <w:rPr>
          <w:rFonts w:cs="Tahoma" w:ascii="Tahoma" w:hAnsi="Tahoma"/>
          <w:b/>
          <w:sz w:val="22"/>
          <w:szCs w:val="22"/>
        </w:rPr>
        <w:t>XIV.</w:t>
        <w:br/>
        <w:t>Sankční ujednání</w:t>
      </w:r>
    </w:p>
    <w:p>
      <w:pPr>
        <w:pStyle w:val="Normal"/>
        <w:numPr>
          <w:ilvl w:val="0"/>
          <w:numId w:val="14"/>
        </w:numPr>
        <w:tabs>
          <w:tab w:val="clear" w:pos="709"/>
        </w:tabs>
        <w:spacing w:before="120" w:after="0"/>
        <w:jc w:val="both"/>
        <w:rPr>
          <w:rFonts w:ascii="Tahoma" w:hAnsi="Tahoma" w:cs="Tahoma"/>
          <w:sz w:val="22"/>
          <w:szCs w:val="22"/>
        </w:rPr>
      </w:pPr>
      <w:r>
        <w:rPr>
          <w:rFonts w:cs="Tahoma" w:ascii="Tahoma" w:hAnsi="Tahoma"/>
          <w:sz w:val="22"/>
          <w:szCs w:val="22"/>
        </w:rPr>
        <w:t>V případě, že bude zhotovitel v prodlení s provedením díla v době plnění dle čl. IV odst. 1 této smlouvy, je povinen zaplatit objednateli smluvní pokutu ve výši 0,05 % z ceny za dílo bez DPH za každý i započatý den prodlení.</w:t>
      </w:r>
    </w:p>
    <w:p>
      <w:pPr>
        <w:pStyle w:val="Normal"/>
        <w:numPr>
          <w:ilvl w:val="0"/>
          <w:numId w:val="14"/>
        </w:numPr>
        <w:tabs>
          <w:tab w:val="clear" w:pos="709"/>
        </w:tabs>
        <w:spacing w:before="120" w:after="0"/>
        <w:jc w:val="both"/>
        <w:rPr>
          <w:rFonts w:ascii="Tahoma" w:hAnsi="Tahoma" w:cs="Tahoma"/>
          <w:sz w:val="22"/>
          <w:szCs w:val="22"/>
        </w:rPr>
      </w:pPr>
      <w:r>
        <w:rPr>
          <w:rFonts w:cs="Tahoma" w:ascii="Tahoma" w:hAnsi="Tahoma"/>
          <w:sz w:val="22"/>
          <w:szCs w:val="22"/>
        </w:rPr>
        <w:t>V případě, že zhotovitel neodstraní všechny drobné vady a nedodělky, s nimiž bylo dílo převzato, ve lhůtě dle čl. XI odst. 6 této smlouvy, je povinen zaplatit objednateli smluvní pokutu ve výši 0,01 % z ceny za dílo bez DPH za každý i započatý den prodlení.</w:t>
      </w:r>
    </w:p>
    <w:p>
      <w:pPr>
        <w:pStyle w:val="Normal"/>
        <w:numPr>
          <w:ilvl w:val="0"/>
          <w:numId w:val="14"/>
        </w:numPr>
        <w:tabs>
          <w:tab w:val="clear" w:pos="709"/>
        </w:tabs>
        <w:spacing w:before="120" w:after="0"/>
        <w:jc w:val="both"/>
        <w:rPr>
          <w:rFonts w:ascii="Tahoma" w:hAnsi="Tahoma" w:cs="Tahoma"/>
          <w:sz w:val="22"/>
          <w:szCs w:val="22"/>
        </w:rPr>
      </w:pPr>
      <w:r>
        <w:rPr>
          <w:rFonts w:cs="Tahoma" w:ascii="Tahoma" w:hAnsi="Tahoma"/>
          <w:sz w:val="22"/>
          <w:szCs w:val="22"/>
        </w:rPr>
        <w:t>Pro případ prodlení se zaplacením ceny za dílo sjednávají smluvní strany úrok z prodlení ve výši stanovené občanskoprávními předpisy.</w:t>
      </w:r>
    </w:p>
    <w:p>
      <w:pPr>
        <w:pStyle w:val="Normal"/>
        <w:numPr>
          <w:ilvl w:val="0"/>
          <w:numId w:val="14"/>
        </w:numPr>
        <w:tabs>
          <w:tab w:val="clear" w:pos="709"/>
        </w:tabs>
        <w:spacing w:before="120" w:after="0"/>
        <w:jc w:val="both"/>
        <w:rPr>
          <w:rFonts w:ascii="Tahoma" w:hAnsi="Tahoma" w:cs="Tahoma"/>
          <w:sz w:val="22"/>
          <w:szCs w:val="22"/>
        </w:rPr>
      </w:pPr>
      <w:r>
        <w:rPr>
          <w:rFonts w:cs="Tahoma" w:ascii="Tahoma" w:hAnsi="Tahoma"/>
          <w:sz w:val="22"/>
          <w:szCs w:val="22"/>
        </w:rPr>
        <w:t>V případě prodlení s vyklizením a vyčištěním staveniště ve lhůtě dle čl. VIII odst. 6 této smlouvy je zhotovitel povinen zaplatit objednateli smluvní pokutu ve výši 0,05 % z ceny za dílo bez DPH za každý i započatý den prodlení.</w:t>
      </w:r>
    </w:p>
    <w:p>
      <w:pPr>
        <w:pStyle w:val="Normal"/>
        <w:numPr>
          <w:ilvl w:val="0"/>
          <w:numId w:val="14"/>
        </w:numPr>
        <w:tabs>
          <w:tab w:val="clear" w:pos="709"/>
        </w:tabs>
        <w:spacing w:before="120" w:after="0"/>
        <w:jc w:val="both"/>
        <w:rPr>
          <w:rFonts w:ascii="Tahoma" w:hAnsi="Tahoma" w:cs="Tahoma"/>
          <w:sz w:val="22"/>
          <w:szCs w:val="22"/>
        </w:rPr>
      </w:pPr>
      <w:r>
        <w:rPr>
          <w:rFonts w:cs="Tahoma" w:ascii="Tahoma" w:hAnsi="Tahoma"/>
          <w:sz w:val="22"/>
          <w:szCs w:val="22"/>
        </w:rPr>
        <w:t>V případě porušení povinnosti zhotovitele plnit požadavky dotčených orgánů a organizací související s realizací stavby, je zhotovitel povinen zaplatit objednateli smluvní pokutu ve výši 0,01 % z ceny za dílo bez DPH za každý zjištěný případ.</w:t>
      </w:r>
    </w:p>
    <w:p>
      <w:pPr>
        <w:pStyle w:val="Normal"/>
        <w:numPr>
          <w:ilvl w:val="0"/>
          <w:numId w:val="14"/>
        </w:numPr>
        <w:tabs>
          <w:tab w:val="clear" w:pos="709"/>
        </w:tabs>
        <w:spacing w:before="120" w:after="0"/>
        <w:jc w:val="both"/>
        <w:rPr>
          <w:rFonts w:ascii="Tahoma" w:hAnsi="Tahoma" w:cs="Tahoma"/>
          <w:sz w:val="22"/>
          <w:szCs w:val="22"/>
        </w:rPr>
      </w:pPr>
      <w:r>
        <w:rPr>
          <w:rFonts w:cs="Tahoma" w:ascii="Tahoma" w:hAnsi="Tahoma"/>
          <w:sz w:val="22"/>
          <w:szCs w:val="22"/>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3.000 Kč za každý zjištěný případ.</w:t>
      </w:r>
    </w:p>
    <w:p>
      <w:pPr>
        <w:pStyle w:val="Normal"/>
        <w:numPr>
          <w:ilvl w:val="0"/>
          <w:numId w:val="14"/>
        </w:numPr>
        <w:tabs>
          <w:tab w:val="clear" w:pos="709"/>
        </w:tabs>
        <w:spacing w:before="120" w:after="0"/>
        <w:jc w:val="both"/>
        <w:rPr>
          <w:rFonts w:ascii="Tahoma" w:hAnsi="Tahoma" w:cs="Tahoma"/>
          <w:iCs/>
          <w:sz w:val="22"/>
          <w:szCs w:val="22"/>
        </w:rPr>
      </w:pPr>
      <w:r>
        <w:rPr>
          <w:rFonts w:cs="Tahoma" w:ascii="Tahoma" w:hAnsi="Tahoma"/>
          <w:sz w:val="22"/>
          <w:szCs w:val="22"/>
        </w:rPr>
        <w:t>V případě prodlení zhotovitele s odstraněním vady ve lhůtě dle čl. XII odst. 7 této smlouvy je zhotovitel povinen zaplatit objednateli smluvní pokutu ve výši 0,05 % z ceny za dílo bez DPH za každý i započatý den prodlení.</w:t>
      </w:r>
    </w:p>
    <w:p>
      <w:pPr>
        <w:pStyle w:val="Normal"/>
        <w:numPr>
          <w:ilvl w:val="0"/>
          <w:numId w:val="14"/>
        </w:numPr>
        <w:tabs>
          <w:tab w:val="clear" w:pos="709"/>
        </w:tabs>
        <w:spacing w:before="120" w:after="0"/>
        <w:jc w:val="both"/>
        <w:rPr>
          <w:rFonts w:ascii="Tahoma" w:hAnsi="Tahoma" w:cs="Tahoma"/>
          <w:sz w:val="22"/>
          <w:szCs w:val="22"/>
        </w:rPr>
      </w:pPr>
      <w:r>
        <w:rPr>
          <w:rFonts w:cs="Tahoma" w:ascii="Tahoma" w:hAnsi="Tahoma"/>
          <w:sz w:val="22"/>
          <w:szCs w:val="22"/>
        </w:rPr>
        <w:t>V případě, že bude zjištěno, že stavební deník, případně projektová dokumentace a doklady potřebné k provádění stavby dle stavebního zákona, nejsou přístupné kdykoliv v průběhu práce na staveništi, je zhotovitel povinen zaplatit objednateli smluvní pokutu ve výši 0,05 % z ceny za dílo bez DPH za každý zjištěný případ.</w:t>
      </w:r>
    </w:p>
    <w:p>
      <w:pPr>
        <w:pStyle w:val="Normal"/>
        <w:numPr>
          <w:ilvl w:val="0"/>
          <w:numId w:val="14"/>
        </w:numPr>
        <w:tabs>
          <w:tab w:val="clear" w:pos="709"/>
        </w:tabs>
        <w:spacing w:before="120" w:after="0"/>
        <w:jc w:val="both"/>
        <w:rPr>
          <w:rFonts w:ascii="Tahoma" w:hAnsi="Tahoma" w:cs="Tahoma"/>
          <w:sz w:val="22"/>
          <w:szCs w:val="22"/>
        </w:rPr>
      </w:pPr>
      <w:r>
        <w:rPr>
          <w:rFonts w:cs="Tahoma" w:ascii="Tahoma" w:hAnsi="Tahoma"/>
          <w:sz w:val="22"/>
          <w:szCs w:val="22"/>
        </w:rPr>
        <w:t>V případě, že zhotovitel poruší jakoukoliv svou povinnost stanovenou v čl. IX odst. 9 nebo 10 nebo 27 této smlouvy, je povinen zaplatit objednateli smluvní pokutu ve výši 10.000 Kč za každý zjištěný případ.</w:t>
      </w:r>
    </w:p>
    <w:p>
      <w:pPr>
        <w:pStyle w:val="Normal"/>
        <w:numPr>
          <w:ilvl w:val="0"/>
          <w:numId w:val="14"/>
        </w:numPr>
        <w:tabs>
          <w:tab w:val="clear" w:pos="709"/>
        </w:tabs>
        <w:spacing w:before="120" w:after="0"/>
        <w:jc w:val="both"/>
        <w:rPr>
          <w:rFonts w:ascii="Tahoma" w:hAnsi="Tahoma" w:cs="Tahoma"/>
          <w:sz w:val="22"/>
          <w:szCs w:val="22"/>
        </w:rPr>
      </w:pPr>
      <w:r>
        <w:rPr>
          <w:rFonts w:cs="Tahoma" w:ascii="Tahoma" w:hAnsi="Tahoma"/>
          <w:sz w:val="22"/>
          <w:szCs w:val="22"/>
        </w:rPr>
        <w:t>V případě, že zhotovitel poruší svou povinnost stanovenou v čl. IX odst. 12 této smlouvy, je povinen zaplatit objednateli smluvní pokutu ve výši 5.000 Kč za každý zjištěný případ.</w:t>
      </w:r>
    </w:p>
    <w:p>
      <w:pPr>
        <w:pStyle w:val="Normal"/>
        <w:numPr>
          <w:ilvl w:val="0"/>
          <w:numId w:val="14"/>
        </w:numPr>
        <w:tabs>
          <w:tab w:val="clear" w:pos="709"/>
        </w:tabs>
        <w:spacing w:before="120" w:after="0"/>
        <w:jc w:val="both"/>
        <w:rPr>
          <w:rFonts w:ascii="Tahoma" w:hAnsi="Tahoma" w:cs="Tahoma"/>
          <w:sz w:val="22"/>
          <w:szCs w:val="22"/>
        </w:rPr>
      </w:pPr>
      <w:r>
        <w:rPr>
          <w:rFonts w:cs="Tahoma" w:ascii="Tahoma" w:hAnsi="Tahoma"/>
          <w:sz w:val="22"/>
          <w:szCs w:val="22"/>
        </w:rPr>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je povinen zaplatit objednateli smluvní pokutu ve výši 2.000 Kč za každý zjištěný případ.</w:t>
      </w:r>
    </w:p>
    <w:p>
      <w:pPr>
        <w:pStyle w:val="Normal"/>
        <w:numPr>
          <w:ilvl w:val="0"/>
          <w:numId w:val="14"/>
        </w:numPr>
        <w:tabs>
          <w:tab w:val="clear" w:pos="709"/>
        </w:tabs>
        <w:spacing w:before="120" w:after="0"/>
        <w:jc w:val="both"/>
        <w:rPr>
          <w:rFonts w:ascii="Tahoma" w:hAnsi="Tahoma" w:cs="Tahoma"/>
          <w:sz w:val="22"/>
          <w:szCs w:val="22"/>
        </w:rPr>
      </w:pPr>
      <w:r>
        <w:rPr>
          <w:rFonts w:cs="Tahoma" w:ascii="Tahoma" w:hAnsi="Tahoma"/>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pPr>
        <w:pStyle w:val="Normal"/>
        <w:numPr>
          <w:ilvl w:val="0"/>
          <w:numId w:val="14"/>
        </w:numPr>
        <w:tabs>
          <w:tab w:val="clear" w:pos="709"/>
        </w:tabs>
        <w:spacing w:before="120" w:after="0"/>
        <w:jc w:val="both"/>
        <w:rPr>
          <w:rFonts w:ascii="Tahoma" w:hAnsi="Tahoma" w:cs="Tahoma"/>
          <w:sz w:val="22"/>
          <w:szCs w:val="22"/>
        </w:rPr>
      </w:pPr>
      <w:r>
        <w:rPr>
          <w:rFonts w:cs="Tahoma" w:ascii="Tahoma" w:hAnsi="Tahoma"/>
          <w:sz w:val="22"/>
          <w:szCs w:val="22"/>
        </w:rPr>
        <w:t>Sjednané smluvní pokuty zaplatí povinná strana nezávisle na zavinění a na tom, zda a v jaké výši vznikne druhé straně škoda.</w:t>
      </w:r>
    </w:p>
    <w:p>
      <w:pPr>
        <w:pStyle w:val="Normal"/>
        <w:numPr>
          <w:ilvl w:val="0"/>
          <w:numId w:val="14"/>
        </w:numPr>
        <w:tabs>
          <w:tab w:val="clear" w:pos="709"/>
        </w:tabs>
        <w:spacing w:before="120" w:after="0"/>
        <w:jc w:val="both"/>
        <w:rPr>
          <w:rFonts w:ascii="Tahoma" w:hAnsi="Tahoma" w:cs="Tahoma"/>
          <w:sz w:val="22"/>
          <w:szCs w:val="22"/>
        </w:rPr>
      </w:pPr>
      <w:r>
        <w:rPr>
          <w:rFonts w:cs="Tahoma" w:ascii="Tahoma" w:hAnsi="Tahoma"/>
          <w:sz w:val="22"/>
          <w:szCs w:val="22"/>
        </w:rPr>
        <w:t>Smluvní pokuty se nezapočítávají na náhradu případně vzniklé škody. Náhradu škody lze vymáhat samostatně vedle smluvní pokuty v plné výši.</w:t>
      </w:r>
    </w:p>
    <w:p>
      <w:pPr>
        <w:pStyle w:val="Normal"/>
        <w:keepNext w:val="true"/>
        <w:spacing w:before="360" w:after="0"/>
        <w:jc w:val="center"/>
        <w:rPr>
          <w:rFonts w:ascii="Tahoma" w:hAnsi="Tahoma" w:eastAsia="Tahoma" w:cs="Tahoma"/>
          <w:b/>
          <w:bCs/>
        </w:rPr>
      </w:pPr>
      <w:r>
        <w:rPr>
          <w:rFonts w:cs="Tahoma" w:ascii="Tahoma" w:hAnsi="Tahoma"/>
          <w:b/>
          <w:bCs/>
          <w:sz w:val="22"/>
          <w:szCs w:val="22"/>
        </w:rPr>
        <w:t>XV.</w:t>
        <w:br/>
        <w:t xml:space="preserve">Sankce </w:t>
      </w:r>
      <w:r>
        <w:rPr>
          <w:rFonts w:cs="Tahoma" w:ascii="Tahoma" w:hAnsi="Tahoma"/>
          <w:b/>
          <w:sz w:val="22"/>
          <w:szCs w:val="22"/>
        </w:rPr>
        <w:t>vůči</w:t>
      </w:r>
      <w:r>
        <w:rPr>
          <w:rFonts w:cs="Tahoma" w:ascii="Tahoma" w:hAnsi="Tahoma"/>
          <w:b/>
          <w:bCs/>
          <w:sz w:val="22"/>
          <w:szCs w:val="22"/>
        </w:rPr>
        <w:t xml:space="preserve"> Rusku a Bělorusku</w:t>
      </w:r>
    </w:p>
    <w:p>
      <w:pPr>
        <w:pStyle w:val="Normal"/>
        <w:numPr>
          <w:ilvl w:val="0"/>
          <w:numId w:val="32"/>
        </w:numPr>
        <w:tabs>
          <w:tab w:val="clear" w:pos="709"/>
        </w:tabs>
        <w:spacing w:lineRule="auto" w:line="259" w:before="120" w:after="0"/>
        <w:ind w:hanging="357" w:left="357"/>
        <w:jc w:val="both"/>
        <w:rPr>
          <w:rFonts w:ascii="Tahoma" w:hAnsi="Tahoma" w:eastAsia="Tahoma" w:cs="Tahoma"/>
          <w:sz w:val="22"/>
          <w:szCs w:val="22"/>
        </w:rPr>
      </w:pPr>
      <w:r>
        <w:rPr>
          <w:rFonts w:cs="Tahoma" w:ascii="Tahoma" w:hAnsi="Tahoma"/>
          <w:sz w:val="22"/>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pPr>
        <w:pStyle w:val="Normal"/>
        <w:numPr>
          <w:ilvl w:val="0"/>
          <w:numId w:val="32"/>
        </w:numPr>
        <w:tabs>
          <w:tab w:val="clear" w:pos="709"/>
        </w:tabs>
        <w:spacing w:lineRule="auto" w:line="259" w:before="120" w:after="0"/>
        <w:ind w:hanging="357" w:left="357"/>
        <w:jc w:val="both"/>
        <w:rPr>
          <w:rFonts w:ascii="Tahoma" w:hAnsi="Tahoma" w:eastAsia="Tahoma" w:cs="Tahoma"/>
          <w:sz w:val="22"/>
          <w:szCs w:val="22"/>
        </w:rPr>
      </w:pPr>
      <w:r>
        <w:rPr>
          <w:rFonts w:cs="Tahoma" w:ascii="Tahoma" w:hAnsi="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pPr>
        <w:pStyle w:val="Normal"/>
        <w:numPr>
          <w:ilvl w:val="0"/>
          <w:numId w:val="32"/>
        </w:numPr>
        <w:tabs>
          <w:tab w:val="clear" w:pos="709"/>
        </w:tabs>
        <w:spacing w:lineRule="auto" w:line="259" w:before="120" w:after="0"/>
        <w:ind w:hanging="357" w:left="357"/>
        <w:jc w:val="both"/>
        <w:rPr>
          <w:rFonts w:ascii="Tahoma" w:hAnsi="Tahoma" w:eastAsia="Tahoma" w:cs="Tahoma"/>
          <w:sz w:val="22"/>
          <w:szCs w:val="22"/>
        </w:rPr>
      </w:pPr>
      <w:r>
        <w:rPr>
          <w:rFonts w:cs="Tahoma" w:ascii="Tahoma" w:hAnsi="Tahoma"/>
          <w:sz w:val="22"/>
          <w:szCs w:val="22"/>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pPr>
        <w:pStyle w:val="Normal"/>
        <w:numPr>
          <w:ilvl w:val="0"/>
          <w:numId w:val="32"/>
        </w:numPr>
        <w:tabs>
          <w:tab w:val="clear" w:pos="709"/>
        </w:tabs>
        <w:spacing w:lineRule="auto" w:line="259" w:before="120" w:after="0"/>
        <w:ind w:hanging="357" w:left="357"/>
        <w:jc w:val="both"/>
        <w:rPr>
          <w:rFonts w:ascii="Tahoma" w:hAnsi="Tahoma" w:eastAsia="Tahoma" w:cs="Tahoma"/>
          <w:sz w:val="22"/>
          <w:szCs w:val="22"/>
        </w:rPr>
      </w:pPr>
      <w:r>
        <w:rPr>
          <w:rFonts w:eastAsia="Tahoma" w:cs="Tahoma" w:ascii="Tahoma" w:hAnsi="Tahoma"/>
          <w:sz w:val="22"/>
          <w:szCs w:val="22"/>
        </w:rPr>
        <w:t xml:space="preserve">Dojde-li k porušení pravidel dle odst. 1 tohoto článku smlouvy, je zhotovitel povinen zaplatit </w:t>
      </w:r>
      <w:r>
        <w:rPr>
          <w:rFonts w:cs="Tahoma" w:ascii="Tahoma" w:hAnsi="Tahoma"/>
          <w:sz w:val="22"/>
          <w:szCs w:val="22"/>
        </w:rPr>
        <w:t>objednateli</w:t>
      </w:r>
      <w:r>
        <w:rPr>
          <w:rFonts w:eastAsia="Tahoma" w:cs="Tahoma" w:ascii="Tahoma" w:hAnsi="Tahoma"/>
          <w:sz w:val="22"/>
          <w:szCs w:val="22"/>
        </w:rPr>
        <w:t xml:space="preserve"> smluvní pokutu ve výši 250.000 Kč, a to za každý jednotlivý případ porušení.</w:t>
      </w:r>
    </w:p>
    <w:p>
      <w:pPr>
        <w:pStyle w:val="Normal"/>
        <w:keepNext w:val="true"/>
        <w:spacing w:before="360" w:after="0"/>
        <w:jc w:val="center"/>
        <w:rPr>
          <w:rFonts w:ascii="Tahoma" w:hAnsi="Tahoma" w:cs="Tahoma"/>
          <w:b/>
          <w:sz w:val="22"/>
          <w:szCs w:val="22"/>
        </w:rPr>
      </w:pPr>
      <w:r>
        <w:rPr>
          <w:rFonts w:cs="Tahoma" w:ascii="Tahoma" w:hAnsi="Tahoma"/>
          <w:b/>
          <w:sz w:val="22"/>
          <w:szCs w:val="22"/>
        </w:rPr>
        <w:t>XVI.</w:t>
        <w:br/>
        <w:t>Zánik smlouvy</w:t>
      </w:r>
    </w:p>
    <w:p>
      <w:pPr>
        <w:pStyle w:val="Smlouva-slo1"/>
        <w:numPr>
          <w:ilvl w:val="0"/>
          <w:numId w:val="13"/>
        </w:numPr>
        <w:tabs>
          <w:tab w:val="clear" w:pos="709"/>
        </w:tabs>
        <w:spacing w:lineRule="auto" w:line="240"/>
        <w:ind w:hanging="357" w:left="357"/>
        <w:rPr>
          <w:rFonts w:ascii="Tahoma" w:hAnsi="Tahoma" w:cs="Tahoma"/>
          <w:sz w:val="22"/>
          <w:szCs w:val="22"/>
        </w:rPr>
      </w:pPr>
      <w:r>
        <w:rPr>
          <w:rFonts w:cs="Tahoma" w:ascii="Tahoma" w:hAnsi="Tahoma"/>
          <w:sz w:val="22"/>
          <w:szCs w:val="22"/>
        </w:rPr>
        <w:t>Smluvní strany mohou ukončit smluvní vztah písemnou dohodou.</w:t>
      </w:r>
    </w:p>
    <w:p>
      <w:pPr>
        <w:pStyle w:val="Smlouva-slo1"/>
        <w:numPr>
          <w:ilvl w:val="0"/>
          <w:numId w:val="13"/>
        </w:numPr>
        <w:tabs>
          <w:tab w:val="clear" w:pos="709"/>
        </w:tabs>
        <w:spacing w:lineRule="auto" w:line="240"/>
        <w:ind w:hanging="357" w:left="357"/>
        <w:rPr>
          <w:rFonts w:ascii="Tahoma" w:hAnsi="Tahoma" w:cs="Tahoma"/>
          <w:sz w:val="22"/>
          <w:szCs w:val="22"/>
        </w:rPr>
      </w:pPr>
      <w:r>
        <w:rPr>
          <w:rFonts w:cs="Tahoma" w:ascii="Tahoma" w:hAnsi="Tahoma"/>
          <w:sz w:val="22"/>
          <w:szCs w:val="22"/>
        </w:rPr>
        <w:t>Smluvní strany jsou oprávněny odstoupit od smlouvy v případě jejího podstatného porušení druhou smluvní stranou, přičemž podstatným porušením smlouvy se rozumí zejména:</w:t>
      </w:r>
    </w:p>
    <w:p>
      <w:pPr>
        <w:pStyle w:val="Smlouva-slo1"/>
        <w:numPr>
          <w:ilvl w:val="0"/>
          <w:numId w:val="20"/>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neprovedení díla v době plnění dle čl. IV odst. 1 této smlouvy,</w:t>
      </w:r>
    </w:p>
    <w:p>
      <w:pPr>
        <w:pStyle w:val="Smlouva-slo1"/>
        <w:numPr>
          <w:ilvl w:val="0"/>
          <w:numId w:val="20"/>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nepředání dokladů na požadované pojištění dle čl. XIII odst. 5 této smlouvy,</w:t>
      </w:r>
    </w:p>
    <w:p>
      <w:pPr>
        <w:pStyle w:val="Smlouva-slo1"/>
        <w:numPr>
          <w:ilvl w:val="0"/>
          <w:numId w:val="20"/>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nepřevzetí staveniště zhotovitelem na výzvu objednatele (s výjimkou případů, kdy převzetí brání důvody na straně objednatele),</w:t>
      </w:r>
    </w:p>
    <w:p>
      <w:pPr>
        <w:pStyle w:val="Smlouva-slo1"/>
        <w:numPr>
          <w:ilvl w:val="0"/>
          <w:numId w:val="20"/>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nedodržení pokynů objednatele, právních předpisů nebo technických norem týkajících se provádění díla,</w:t>
      </w:r>
    </w:p>
    <w:p>
      <w:pPr>
        <w:pStyle w:val="Smlouva-slo1"/>
        <w:numPr>
          <w:ilvl w:val="0"/>
          <w:numId w:val="20"/>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nedodržení smluvních ujednání o záruce za jakost,</w:t>
      </w:r>
    </w:p>
    <w:p>
      <w:pPr>
        <w:pStyle w:val="Smlouva-slo1"/>
        <w:numPr>
          <w:ilvl w:val="0"/>
          <w:numId w:val="20"/>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neuhrazení ceny za dílo objednatelem po druhé výzvě zhotovitele k uhrazení dlužné částky, přičemž druhá výzva nesmí následovat dříve než 30 dnů po doručení první výzvy,</w:t>
      </w:r>
    </w:p>
    <w:p>
      <w:pPr>
        <w:pStyle w:val="Smlouva-slo1"/>
        <w:numPr>
          <w:ilvl w:val="0"/>
          <w:numId w:val="20"/>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nedodržení jakéhokoliv smluvního ujednání dle čl. IX této smlouvy.</w:t>
      </w:r>
    </w:p>
    <w:p>
      <w:pPr>
        <w:pStyle w:val="Smlouva-slo1"/>
        <w:numPr>
          <w:ilvl w:val="0"/>
          <w:numId w:val="13"/>
        </w:numPr>
        <w:tabs>
          <w:tab w:val="clear" w:pos="709"/>
        </w:tabs>
        <w:spacing w:lineRule="auto" w:line="240"/>
        <w:ind w:hanging="357" w:left="357"/>
        <w:rPr>
          <w:rFonts w:ascii="Tahoma" w:hAnsi="Tahoma" w:cs="Tahoma"/>
          <w:sz w:val="22"/>
          <w:szCs w:val="22"/>
        </w:rPr>
      </w:pPr>
      <w:r>
        <w:rPr>
          <w:rFonts w:cs="Tahoma" w:ascii="Tahoma" w:hAnsi="Tahoma"/>
          <w:sz w:val="22"/>
          <w:szCs w:val="22"/>
        </w:rPr>
        <w:t>Objednatel je dále oprávněn od této smlouvy odstoupit v těchto případech:</w:t>
      </w:r>
    </w:p>
    <w:p>
      <w:pPr>
        <w:pStyle w:val="Normal"/>
        <w:numPr>
          <w:ilvl w:val="0"/>
          <w:numId w:val="27"/>
        </w:numPr>
        <w:tabs>
          <w:tab w:val="clear" w:pos="709"/>
          <w:tab w:val="left" w:pos="714" w:leader="none"/>
        </w:tabs>
        <w:spacing w:before="60" w:after="0"/>
        <w:ind w:hanging="357" w:left="714"/>
        <w:jc w:val="both"/>
        <w:rPr>
          <w:rFonts w:ascii="Tahoma" w:hAnsi="Tahoma" w:cs="Tahoma"/>
          <w:sz w:val="22"/>
          <w:szCs w:val="22"/>
        </w:rPr>
      </w:pPr>
      <w:r>
        <w:rPr>
          <w:rFonts w:cs="Tahoma" w:ascii="Tahoma" w:hAnsi="Tahoma"/>
          <w:sz w:val="22"/>
          <w:szCs w:val="22"/>
        </w:rPr>
        <w:t>dojde</w:t>
        <w:noBreakHyphen/>
        <w:t>li k neoprávněnému zastavení prací z rozhodnutí zhotovitele nebo zhotovitel postupuje při provádění díla způsobem, který zjevně neodpovídá dohodnutému rozsahu díla a sjednanému termínu předání díla, či jeho části objednateli;</w:t>
      </w:r>
    </w:p>
    <w:p>
      <w:pPr>
        <w:pStyle w:val="Normal"/>
        <w:numPr>
          <w:ilvl w:val="0"/>
          <w:numId w:val="27"/>
        </w:numPr>
        <w:tabs>
          <w:tab w:val="clear" w:pos="709"/>
          <w:tab w:val="left" w:pos="720" w:leader="none"/>
        </w:tabs>
        <w:spacing w:before="60" w:after="0"/>
        <w:ind w:hanging="357" w:left="714"/>
        <w:jc w:val="both"/>
        <w:rPr>
          <w:rFonts w:ascii="Tahoma" w:hAnsi="Tahoma" w:cs="Tahoma"/>
          <w:color w:val="000000"/>
          <w:sz w:val="22"/>
          <w:szCs w:val="22"/>
        </w:rPr>
      </w:pPr>
      <w:r>
        <w:rPr>
          <w:rFonts w:cs="Tahoma" w:ascii="Tahoma" w:hAnsi="Tahoma"/>
          <w:sz w:val="22"/>
          <w:szCs w:val="22"/>
        </w:rPr>
        <w:t>bylo</w:t>
        <w:noBreakHyphen/>
        <w:t xml:space="preserve">li příslušným soudem rozhodnuto </w:t>
      </w:r>
      <w:r>
        <w:rPr>
          <w:rFonts w:cs="Tahoma" w:ascii="Tahoma" w:hAnsi="Tahoma"/>
          <w:color w:val="000000"/>
          <w:sz w:val="22"/>
          <w:szCs w:val="22"/>
        </w:rPr>
        <w:t>o tom, že zhotovitel je v úpadku ve smyslu zákona č. 182/2006 Sb., o úpadku a způsobech jeho řešení (insolvenční zákon), ve znění pozdějších předpisů (a to bez ohledu na právní moc tohoto rozhodnutí);</w:t>
      </w:r>
    </w:p>
    <w:p>
      <w:pPr>
        <w:pStyle w:val="Normal"/>
        <w:numPr>
          <w:ilvl w:val="0"/>
          <w:numId w:val="27"/>
        </w:numPr>
        <w:tabs>
          <w:tab w:val="clear" w:pos="709"/>
          <w:tab w:val="left" w:pos="720" w:leader="none"/>
        </w:tabs>
        <w:spacing w:before="60" w:after="0"/>
        <w:ind w:hanging="357" w:left="714"/>
        <w:jc w:val="both"/>
        <w:rPr>
          <w:rFonts w:ascii="Tahoma" w:hAnsi="Tahoma" w:cs="Tahoma"/>
          <w:color w:val="000000"/>
          <w:sz w:val="22"/>
          <w:szCs w:val="22"/>
        </w:rPr>
      </w:pPr>
      <w:r>
        <w:rPr>
          <w:rFonts w:cs="Tahoma" w:ascii="Tahoma" w:hAnsi="Tahoma"/>
          <w:color w:val="000000"/>
          <w:sz w:val="22"/>
          <w:szCs w:val="22"/>
        </w:rPr>
        <w:t>podá</w:t>
        <w:noBreakHyphen/>
        <w:t>li zhotovitel sám na sebe insolvenční návrh.</w:t>
      </w:r>
    </w:p>
    <w:p>
      <w:pPr>
        <w:pStyle w:val="Smlouva-slo1"/>
        <w:numPr>
          <w:ilvl w:val="0"/>
          <w:numId w:val="13"/>
        </w:numPr>
        <w:tabs>
          <w:tab w:val="clear" w:pos="709"/>
        </w:tabs>
        <w:spacing w:lineRule="auto" w:line="240"/>
        <w:ind w:hanging="357" w:left="357"/>
        <w:rPr>
          <w:rFonts w:ascii="Tahoma" w:hAnsi="Tahoma" w:cs="Tahoma"/>
          <w:color w:val="000000"/>
          <w:sz w:val="22"/>
          <w:szCs w:val="22"/>
        </w:rPr>
      </w:pPr>
      <w:r>
        <w:rPr>
          <w:rFonts w:cs="Tahoma" w:ascii="Tahoma" w:hAnsi="Tahoma"/>
          <w:sz w:val="22"/>
          <w:szCs w:val="22"/>
        </w:rPr>
        <w:t>Odstoupením</w:t>
      </w:r>
      <w:r>
        <w:rPr>
          <w:rFonts w:cs="Tahoma" w:ascii="Tahoma" w:hAnsi="Tahoma"/>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pPr>
        <w:pStyle w:val="Smlouva-slo1"/>
        <w:numPr>
          <w:ilvl w:val="0"/>
          <w:numId w:val="13"/>
        </w:numPr>
        <w:tabs>
          <w:tab w:val="clear" w:pos="709"/>
        </w:tabs>
        <w:spacing w:lineRule="auto" w:line="240"/>
        <w:ind w:hanging="357" w:left="357"/>
        <w:rPr>
          <w:rFonts w:ascii="Tahoma" w:hAnsi="Tahoma" w:cs="Tahoma"/>
          <w:sz w:val="22"/>
          <w:szCs w:val="22"/>
        </w:rPr>
      </w:pPr>
      <w:r>
        <w:rPr>
          <w:rFonts w:cs="Tahoma" w:ascii="Tahoma" w:hAnsi="Tahoma"/>
          <w:sz w:val="22"/>
          <w:szCs w:val="22"/>
        </w:rPr>
        <w:t>Pro účely této smlouvy se pod pojmem „bez zbytečného odkladu“ dle § 2002 občanského zákoníku rozumí „nejpozději do 14 dnů“.</w:t>
      </w:r>
    </w:p>
    <w:p>
      <w:pPr>
        <w:pStyle w:val="Normal"/>
        <w:keepNext w:val="true"/>
        <w:spacing w:before="360" w:after="0"/>
        <w:jc w:val="center"/>
        <w:rPr>
          <w:rFonts w:ascii="Tahoma" w:hAnsi="Tahoma" w:cs="Tahoma"/>
          <w:b/>
          <w:sz w:val="22"/>
          <w:szCs w:val="22"/>
        </w:rPr>
      </w:pPr>
      <w:r>
        <w:rPr>
          <w:rFonts w:cs="Tahoma" w:ascii="Tahoma" w:hAnsi="Tahoma"/>
          <w:b/>
          <w:sz w:val="22"/>
          <w:szCs w:val="22"/>
        </w:rPr>
        <w:t>XVII.</w:t>
        <w:br/>
        <w:t>Závěrečná ujednání</w:t>
      </w:r>
    </w:p>
    <w:p>
      <w:pPr>
        <w:pStyle w:val="Smlouva-slo1"/>
        <w:numPr>
          <w:ilvl w:val="0"/>
          <w:numId w:val="15"/>
        </w:numPr>
        <w:tabs>
          <w:tab w:val="clear" w:pos="709"/>
        </w:tabs>
        <w:spacing w:lineRule="auto" w:line="240"/>
        <w:rPr>
          <w:rFonts w:ascii="Tahoma" w:hAnsi="Tahoma" w:cs="Tahoma"/>
          <w:sz w:val="22"/>
          <w:szCs w:val="22"/>
        </w:rPr>
      </w:pPr>
      <w:r>
        <w:rPr>
          <w:rFonts w:cs="Tahoma" w:ascii="Tahoma" w:hAnsi="Tahoma"/>
          <w:sz w:val="22"/>
          <w:szCs w:val="22"/>
        </w:rPr>
        <w:t>Změnit nebo doplnit tuto smlouvu mohou smluvní strany pouze formou písemných dodatků, které budou vzestupně číslovány, výslovně prohlášeny za dodatky této smlouvy a podepsány oprávněnými zástupci smluvních stran.</w:t>
      </w:r>
    </w:p>
    <w:p>
      <w:pPr>
        <w:pStyle w:val="Smlouva-slo1"/>
        <w:numPr>
          <w:ilvl w:val="0"/>
          <w:numId w:val="15"/>
        </w:numPr>
        <w:spacing w:lineRule="auto" w:line="240"/>
        <w:rPr>
          <w:rFonts w:ascii="Tahoma" w:hAnsi="Tahoma" w:cs="Tahoma"/>
          <w:sz w:val="22"/>
          <w:szCs w:val="22"/>
        </w:rPr>
      </w:pPr>
      <w:r>
        <w:rPr>
          <w:rFonts w:cs="Tahoma" w:ascii="Tahoma" w:hAnsi="Tahoma"/>
          <w:sz w:val="22"/>
          <w:szCs w:val="22"/>
        </w:rPr>
        <w:t xml:space="preserve">Tato smlouva nabývá platnosti dnem jejího podpisu oběma smluvními stranami </w:t>
      </w:r>
      <w:r>
        <w:rPr>
          <w:rFonts w:cs="Tahoma" w:ascii="Tahoma" w:hAnsi="Tahoma"/>
          <w:sz w:val="22"/>
          <w:szCs w:val="22"/>
        </w:rPr>
        <w:t>a účinnosti nabytý právní moci povolení záměru stavby. O nabytí účinnosti smlouvy je objednatel povinen informovat zhotovitele do 7 pracovních dnů ode dne doručení pravomocného povolení záměru stavby příslušným stavebním úřadem</w:t>
      </w:r>
      <w:r>
        <w:rPr>
          <w:rFonts w:cs="Tahoma" w:ascii="Tahoma" w:hAnsi="Tahoma"/>
          <w:sz w:val="22"/>
          <w:szCs w:val="22"/>
        </w:rPr>
        <w:t xml:space="preserve">. </w:t>
      </w:r>
      <w:r>
        <w:rPr>
          <w:rFonts w:cs="Tahoma" w:ascii="Tahoma" w:hAnsi="Tahoma"/>
          <w:sz w:val="22"/>
          <w:szCs w:val="22"/>
        </w:rPr>
        <w:t xml:space="preserve">V případě, že objednatel neobdrží pravomocné povolení záměru stavby do 30. 9. 2026, pozbývá tato smlouva platnosti a žádná ze smluvních stran nemá nárok na jakékoli plnění z této smlouvy vč. náhrady vynaložených nákladů ani ušlého zisku. </w:t>
      </w:r>
    </w:p>
    <w:p>
      <w:pPr>
        <w:pStyle w:val="Smlouva-slo1"/>
        <w:numPr>
          <w:ilvl w:val="0"/>
          <w:numId w:val="15"/>
        </w:numPr>
        <w:tabs>
          <w:tab w:val="clear" w:pos="709"/>
        </w:tabs>
        <w:spacing w:lineRule="auto" w:line="240"/>
        <w:rPr>
          <w:rFonts w:ascii="Tahoma" w:hAnsi="Tahoma" w:cs="Tahoma"/>
          <w:sz w:val="22"/>
          <w:szCs w:val="22"/>
        </w:rPr>
      </w:pPr>
      <w:r>
        <w:rPr>
          <w:rFonts w:cs="Tahoma" w:ascii="Tahoma" w:hAnsi="Tahoma"/>
          <w:sz w:val="22"/>
          <w:szCs w:val="22"/>
        </w:rPr>
        <w:t>Tato smlouva je uzavírána elektronicky.</w:t>
      </w:r>
    </w:p>
    <w:p>
      <w:pPr>
        <w:pStyle w:val="Smlouva-slo1"/>
        <w:numPr>
          <w:ilvl w:val="0"/>
          <w:numId w:val="15"/>
        </w:numPr>
        <w:tabs>
          <w:tab w:val="clear" w:pos="709"/>
        </w:tabs>
        <w:spacing w:lineRule="auto" w:line="240"/>
        <w:rPr>
          <w:rFonts w:ascii="Tahoma" w:hAnsi="Tahoma" w:cs="Tahoma"/>
          <w:sz w:val="22"/>
          <w:szCs w:val="22"/>
        </w:rPr>
      </w:pPr>
      <w:r>
        <w:rPr>
          <w:rFonts w:cs="Tahoma" w:ascii="Tahoma" w:hAnsi="Tahoma"/>
          <w:sz w:val="22"/>
          <w:szCs w:val="22"/>
        </w:rPr>
        <w:t>Zhotovitel nemůže bez souhlasu objednatele postoupit svá práva a povinnosti plynoucí z této smlouvy třetí osobě.</w:t>
      </w:r>
    </w:p>
    <w:p>
      <w:pPr>
        <w:pStyle w:val="Smlouva-slo1"/>
        <w:numPr>
          <w:ilvl w:val="0"/>
          <w:numId w:val="15"/>
        </w:numPr>
        <w:tabs>
          <w:tab w:val="clear" w:pos="709"/>
        </w:tabs>
        <w:spacing w:lineRule="auto" w:line="240"/>
        <w:rPr>
          <w:rFonts w:ascii="Tahoma" w:hAnsi="Tahoma" w:cs="Tahoma"/>
          <w:sz w:val="22"/>
          <w:szCs w:val="22"/>
        </w:rPr>
      </w:pPr>
      <w:r>
        <w:rPr>
          <w:rFonts w:cs="Tahoma" w:ascii="Tahoma" w:hAnsi="Tahoma"/>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pPr>
        <w:pStyle w:val="Smlouva-slo1"/>
        <w:numPr>
          <w:ilvl w:val="0"/>
          <w:numId w:val="15"/>
        </w:numPr>
        <w:spacing w:lineRule="auto" w:line="240"/>
        <w:rPr>
          <w:rFonts w:ascii="Tahoma" w:hAnsi="Tahoma" w:cs="Tahoma"/>
          <w:sz w:val="22"/>
          <w:szCs w:val="22"/>
        </w:rPr>
      </w:pPr>
      <w:r>
        <w:rPr>
          <w:rFonts w:cs="Tahoma" w:ascii="Tahoma" w:hAnsi="Tahoma"/>
          <w:sz w:val="22"/>
          <w:szCs w:val="22"/>
        </w:rPr>
        <w:t>Zhotovitel převzal na sebe nebezpečí změny okolností po uzavření této smlouvy, ovlivňujících výši ceny za dílo (tj. riziko možného nárůstu cen materiálu, nákladů na pracovní sílu, cen energii, pohonných hmot apod.) nebo termín předání díla Objednateli (tj. riziko možného dočasného nedostatku pracovní síly). Z tohoto důvodu Zhotoviteli nepřísluší domáhat se práv, uvedených v ust. § 1765 odst. 1 a v ust. § 2620 odst. 2 občanského zákoníku, jde-li o důsledek změny okolností ovlivňujících výše uvedené ukazatele.</w:t>
      </w:r>
    </w:p>
    <w:p>
      <w:pPr>
        <w:pStyle w:val="Normal"/>
        <w:numPr>
          <w:ilvl w:val="0"/>
          <w:numId w:val="15"/>
        </w:numPr>
        <w:tabs>
          <w:tab w:val="clear" w:pos="709"/>
          <w:tab w:val="left" w:pos="345" w:leader="none"/>
        </w:tabs>
        <w:spacing w:before="120" w:after="0"/>
        <w:ind w:hanging="357" w:left="357" w:right="0"/>
        <w:jc w:val="both"/>
        <w:rPr>
          <w:rFonts w:ascii="Tahoma" w:hAnsi="Tahoma" w:cs="Tahoma"/>
          <w:sz w:val="22"/>
          <w:szCs w:val="22"/>
        </w:rPr>
      </w:pPr>
      <w:r>
        <w:rPr>
          <w:rFonts w:eastAsia="Ubuntu" w:cs="Tahoma" w:ascii="Tahoma" w:hAnsi="Tahoma"/>
          <w:color w:val="auto"/>
          <w:sz w:val="22"/>
          <w:szCs w:val="22"/>
        </w:rPr>
        <w:t xml:space="preserve">Doložka platnosti právního jednání dle § 41 zákona č. 128/2000 Sb., o obcích (obecní zřízení) ve znění pozdějších předpisů: O uzavření této smlouvy rozhodla Rada </w:t>
      </w:r>
      <w:r>
        <w:rPr>
          <w:rFonts w:eastAsia="Ubuntu" w:cs="Tahoma" w:ascii="Tahoma" w:hAnsi="Tahoma"/>
          <w:color w:val="auto"/>
          <w:sz w:val="22"/>
          <w:szCs w:val="22"/>
        </w:rPr>
        <w:t>obce Horní Blludovice</w:t>
      </w:r>
      <w:r>
        <w:rPr>
          <w:rFonts w:eastAsia="Ubuntu" w:cs="Tahoma" w:ascii="Tahoma" w:hAnsi="Tahoma"/>
          <w:color w:val="auto"/>
          <w:sz w:val="22"/>
          <w:szCs w:val="22"/>
        </w:rPr>
        <w:t xml:space="preserve"> na své     . schůzi konané dne       pod č. usnesení </w:t>
      </w:r>
    </w:p>
    <w:p>
      <w:pPr>
        <w:pStyle w:val="Smlouva-slo1"/>
        <w:numPr>
          <w:ilvl w:val="0"/>
          <w:numId w:val="15"/>
        </w:numPr>
        <w:tabs>
          <w:tab w:val="clear" w:pos="709"/>
        </w:tabs>
        <w:spacing w:lineRule="auto" w:line="240"/>
        <w:rPr>
          <w:rFonts w:ascii="Tahoma" w:hAnsi="Tahoma" w:cs="Tahoma"/>
          <w:sz w:val="22"/>
          <w:szCs w:val="22"/>
        </w:rPr>
      </w:pPr>
      <w:r>
        <w:rPr>
          <w:rFonts w:cs="Tahoma" w:ascii="Tahoma" w:hAnsi="Tahoma"/>
          <w:sz w:val="22"/>
          <w:szCs w:val="22"/>
        </w:rPr>
        <w:t>Nedílnou součástí smlouvy jsou tyto přílohy:</w:t>
      </w:r>
    </w:p>
    <w:p>
      <w:pPr>
        <w:pStyle w:val="Smlouva-slo1"/>
        <w:tabs>
          <w:tab w:val="clear" w:pos="709"/>
          <w:tab w:val="left" w:pos="1701" w:leader="none"/>
        </w:tabs>
        <w:spacing w:lineRule="auto" w:line="240"/>
        <w:ind w:left="357"/>
        <w:rPr>
          <w:rFonts w:ascii="Tahoma" w:hAnsi="Tahoma" w:cs="Tahoma"/>
          <w:sz w:val="22"/>
          <w:szCs w:val="22"/>
        </w:rPr>
      </w:pPr>
      <w:r>
        <w:rPr>
          <w:rFonts w:cs="Tahoma" w:ascii="Tahoma" w:hAnsi="Tahoma"/>
          <w:bCs/>
          <w:sz w:val="22"/>
          <w:szCs w:val="22"/>
        </w:rPr>
        <w:t>Příloha č. 1:</w:t>
        <w:tab/>
      </w:r>
      <w:r>
        <w:rPr>
          <w:rFonts w:cs="Tahoma" w:ascii="Tahoma" w:hAnsi="Tahoma"/>
          <w:sz w:val="22"/>
          <w:szCs w:val="22"/>
        </w:rPr>
        <w:t>Souhrnný rozpočet stavby</w:t>
      </w:r>
    </w:p>
    <w:p>
      <w:pPr>
        <w:pStyle w:val="Smlouva-slo1"/>
        <w:tabs>
          <w:tab w:val="clear" w:pos="709"/>
          <w:tab w:val="left" w:pos="1701" w:leader="none"/>
        </w:tabs>
        <w:spacing w:lineRule="auto" w:line="240"/>
        <w:ind w:left="357"/>
        <w:rPr>
          <w:rFonts w:ascii="Tahoma" w:hAnsi="Tahoma" w:cs="Tahoma"/>
          <w:sz w:val="22"/>
          <w:szCs w:val="22"/>
        </w:rPr>
      </w:pPr>
      <w:r>
        <w:rPr>
          <w:rFonts w:cs="Tahoma" w:ascii="Tahoma" w:hAnsi="Tahoma"/>
          <w:sz w:val="22"/>
          <w:szCs w:val="22"/>
        </w:rPr>
      </w:r>
    </w:p>
    <w:tbl>
      <w:tblPr>
        <w:tblW w:w="9000"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3528"/>
        <w:gridCol w:w="1296"/>
        <w:gridCol w:w="4176"/>
      </w:tblGrid>
      <w:tr>
        <w:trPr/>
        <w:tc>
          <w:tcPr>
            <w:tcW w:w="3528" w:type="dxa"/>
            <w:tcBorders/>
          </w:tcPr>
          <w:p>
            <w:pPr>
              <w:pStyle w:val="Normal"/>
              <w:rPr>
                <w:rFonts w:ascii="Tahoma" w:hAnsi="Tahoma" w:cs="Tahoma"/>
                <w:sz w:val="22"/>
                <w:szCs w:val="22"/>
              </w:rPr>
            </w:pPr>
            <w:r>
              <w:rPr>
                <w:rFonts w:cs="Tahoma" w:ascii="Tahoma" w:hAnsi="Tahoma"/>
                <w:sz w:val="22"/>
                <w:szCs w:val="22"/>
              </w:rPr>
              <w:t>V </w:t>
            </w:r>
            <w:r>
              <w:rPr>
                <w:rFonts w:cs="Tahoma" w:ascii="Tahoma" w:hAnsi="Tahoma"/>
                <w:sz w:val="22"/>
                <w:szCs w:val="22"/>
              </w:rPr>
              <w:t>Horních Bludovicích</w:t>
            </w:r>
            <w:r>
              <w:rPr>
                <w:rFonts w:cs="Tahoma" w:ascii="Tahoma" w:hAnsi="Tahoma"/>
                <w:sz w:val="22"/>
                <w:szCs w:val="22"/>
              </w:rPr>
              <w:t xml:space="preserve"> dne</w:t>
            </w:r>
          </w:p>
          <w:p>
            <w:pPr>
              <w:pStyle w:val="Normal"/>
              <w:rPr>
                <w:rFonts w:ascii="Tahoma" w:hAnsi="Tahoma" w:cs="Tahoma"/>
                <w:sz w:val="22"/>
                <w:szCs w:val="22"/>
              </w:rPr>
            </w:pPr>
            <w:r>
              <w:rPr>
                <w:rFonts w:cs="Tahoma" w:ascii="Tahoma" w:hAnsi="Tahoma"/>
                <w:sz w:val="22"/>
                <w:szCs w:val="22"/>
              </w:rPr>
            </w:r>
          </w:p>
          <w:p>
            <w:pPr>
              <w:pStyle w:val="Normal"/>
              <w:rPr>
                <w:rFonts w:ascii="Tahoma" w:hAnsi="Tahoma" w:cs="Tahoma"/>
                <w:sz w:val="22"/>
                <w:szCs w:val="22"/>
              </w:rPr>
            </w:pPr>
            <w:r>
              <w:rPr>
                <w:rFonts w:cs="Tahoma" w:ascii="Tahoma" w:hAnsi="Tahoma"/>
                <w:sz w:val="22"/>
                <w:szCs w:val="22"/>
              </w:rPr>
            </w:r>
          </w:p>
          <w:p>
            <w:pPr>
              <w:pStyle w:val="Normal"/>
              <w:rPr>
                <w:rFonts w:ascii="Tahoma" w:hAnsi="Tahoma" w:cs="Tahoma"/>
                <w:sz w:val="22"/>
                <w:szCs w:val="22"/>
              </w:rPr>
            </w:pPr>
            <w:r>
              <w:rPr>
                <w:rFonts w:cs="Tahoma" w:ascii="Tahoma" w:hAnsi="Tahoma"/>
                <w:sz w:val="22"/>
                <w:szCs w:val="22"/>
              </w:rPr>
            </w:r>
          </w:p>
          <w:p>
            <w:pPr>
              <w:pStyle w:val="Normal"/>
              <w:rPr>
                <w:rFonts w:ascii="Tahoma" w:hAnsi="Tahoma" w:cs="Tahoma"/>
                <w:sz w:val="22"/>
                <w:szCs w:val="22"/>
              </w:rPr>
            </w:pPr>
            <w:r>
              <w:rPr>
                <w:rFonts w:cs="Tahoma" w:ascii="Tahoma" w:hAnsi="Tahoma"/>
                <w:sz w:val="22"/>
                <w:szCs w:val="22"/>
              </w:rPr>
              <w:t>……………………………………</w:t>
            </w:r>
            <w:r>
              <w:rPr>
                <w:rFonts w:cs="Tahoma" w:ascii="Tahoma" w:hAnsi="Tahoma"/>
                <w:sz w:val="22"/>
                <w:szCs w:val="22"/>
              </w:rPr>
              <w:t>.</w:t>
            </w:r>
          </w:p>
          <w:p>
            <w:pPr>
              <w:pStyle w:val="Normal"/>
              <w:rPr>
                <w:rFonts w:ascii="Tahoma" w:hAnsi="Tahoma" w:cs="Tahoma"/>
                <w:sz w:val="22"/>
                <w:szCs w:val="22"/>
              </w:rPr>
            </w:pPr>
            <w:r>
              <w:rPr>
                <w:rFonts w:cs="Tahoma" w:ascii="Tahoma" w:hAnsi="Tahoma"/>
                <w:sz w:val="22"/>
                <w:szCs w:val="22"/>
              </w:rPr>
              <w:t>za objednatele</w:t>
            </w:r>
          </w:p>
          <w:p>
            <w:pPr>
              <w:pStyle w:val="Normal"/>
              <w:ind w:hanging="716" w:left="716"/>
              <w:rPr>
                <w:rFonts w:ascii="Tahoma" w:hAnsi="Tahoma" w:cs="Tahoma"/>
                <w:sz w:val="22"/>
                <w:szCs w:val="22"/>
              </w:rPr>
            </w:pPr>
            <w:r>
              <w:rPr>
                <w:rFonts w:cs="Tahoma" w:ascii="Tahoma" w:hAnsi="Tahoma"/>
                <w:sz w:val="22"/>
                <w:szCs w:val="22"/>
              </w:rPr>
            </w:r>
          </w:p>
        </w:tc>
        <w:tc>
          <w:tcPr>
            <w:tcW w:w="1296" w:type="dxa"/>
            <w:tcBorders/>
          </w:tcPr>
          <w:p>
            <w:pPr>
              <w:pStyle w:val="Normal"/>
              <w:rPr>
                <w:rFonts w:ascii="Tahoma" w:hAnsi="Tahoma" w:cs="Tahoma"/>
                <w:sz w:val="22"/>
                <w:szCs w:val="22"/>
              </w:rPr>
            </w:pPr>
            <w:r>
              <w:rPr>
                <w:rFonts w:cs="Tahoma" w:ascii="Tahoma" w:hAnsi="Tahoma"/>
                <w:sz w:val="22"/>
                <w:szCs w:val="22"/>
              </w:rPr>
            </w:r>
          </w:p>
        </w:tc>
        <w:tc>
          <w:tcPr>
            <w:tcW w:w="4176" w:type="dxa"/>
            <w:tcBorders/>
          </w:tcPr>
          <w:p>
            <w:pPr>
              <w:pStyle w:val="Normal"/>
              <w:rPr>
                <w:rFonts w:ascii="Tahoma" w:hAnsi="Tahoma" w:cs="Tahoma"/>
                <w:sz w:val="22"/>
                <w:szCs w:val="22"/>
              </w:rPr>
            </w:pPr>
            <w:r>
              <w:rPr>
                <w:rFonts w:cs="Tahoma" w:ascii="Tahoma" w:hAnsi="Tahoma"/>
                <w:sz w:val="22"/>
                <w:szCs w:val="22"/>
              </w:rPr>
              <w:t>V ……………… dne</w:t>
            </w:r>
          </w:p>
          <w:p>
            <w:pPr>
              <w:pStyle w:val="Normal"/>
              <w:rPr>
                <w:rFonts w:ascii="Tahoma" w:hAnsi="Tahoma" w:cs="Tahoma"/>
                <w:sz w:val="22"/>
                <w:szCs w:val="22"/>
              </w:rPr>
            </w:pPr>
            <w:r>
              <w:rPr>
                <w:rFonts w:cs="Tahoma" w:ascii="Tahoma" w:hAnsi="Tahoma"/>
                <w:sz w:val="22"/>
                <w:szCs w:val="22"/>
              </w:rPr>
            </w:r>
          </w:p>
          <w:p>
            <w:pPr>
              <w:pStyle w:val="Normal"/>
              <w:rPr>
                <w:rFonts w:ascii="Tahoma" w:hAnsi="Tahoma" w:cs="Tahoma"/>
                <w:sz w:val="22"/>
                <w:szCs w:val="22"/>
              </w:rPr>
            </w:pPr>
            <w:r>
              <w:rPr>
                <w:rFonts w:cs="Tahoma" w:ascii="Tahoma" w:hAnsi="Tahoma"/>
                <w:sz w:val="22"/>
                <w:szCs w:val="22"/>
              </w:rPr>
            </w:r>
          </w:p>
          <w:p>
            <w:pPr>
              <w:pStyle w:val="Normal"/>
              <w:rPr>
                <w:rFonts w:ascii="Tahoma" w:hAnsi="Tahoma" w:cs="Tahoma"/>
                <w:sz w:val="22"/>
                <w:szCs w:val="22"/>
              </w:rPr>
            </w:pPr>
            <w:r>
              <w:rPr>
                <w:rFonts w:cs="Tahoma" w:ascii="Tahoma" w:hAnsi="Tahoma"/>
                <w:sz w:val="22"/>
                <w:szCs w:val="22"/>
              </w:rPr>
            </w:r>
          </w:p>
          <w:p>
            <w:pPr>
              <w:pStyle w:val="Normal"/>
              <w:rPr>
                <w:rFonts w:ascii="Tahoma" w:hAnsi="Tahoma" w:cs="Tahoma"/>
                <w:sz w:val="22"/>
                <w:szCs w:val="22"/>
              </w:rPr>
            </w:pPr>
            <w:r>
              <w:rPr>
                <w:rFonts w:cs="Tahoma" w:ascii="Tahoma" w:hAnsi="Tahoma"/>
                <w:sz w:val="22"/>
                <w:szCs w:val="22"/>
              </w:rPr>
              <w:t>……………………………</w:t>
            </w:r>
            <w:r>
              <w:rPr>
                <w:rFonts w:cs="Tahoma" w:ascii="Tahoma" w:hAnsi="Tahoma"/>
                <w:sz w:val="22"/>
                <w:szCs w:val="22"/>
              </w:rPr>
              <w:t>..</w:t>
            </w:r>
          </w:p>
          <w:p>
            <w:pPr>
              <w:pStyle w:val="Normal"/>
              <w:rPr>
                <w:rFonts w:ascii="Tahoma" w:hAnsi="Tahoma" w:cs="Tahoma"/>
                <w:sz w:val="22"/>
                <w:szCs w:val="22"/>
              </w:rPr>
            </w:pPr>
            <w:r>
              <w:rPr>
                <w:rFonts w:cs="Tahoma" w:ascii="Tahoma" w:hAnsi="Tahoma"/>
                <w:sz w:val="22"/>
                <w:szCs w:val="22"/>
              </w:rPr>
              <w:t>za zhotovitele</w:t>
            </w:r>
          </w:p>
          <w:p>
            <w:pPr>
              <w:pStyle w:val="Normal"/>
              <w:rPr>
                <w:rFonts w:ascii="Tahoma" w:hAnsi="Tahoma" w:cs="Tahoma"/>
                <w:sz w:val="22"/>
                <w:szCs w:val="22"/>
              </w:rPr>
            </w:pPr>
            <w:r>
              <w:rPr>
                <w:rFonts w:cs="Tahoma" w:ascii="Tahoma" w:hAnsi="Tahoma"/>
                <w:sz w:val="22"/>
                <w:szCs w:val="22"/>
              </w:rPr>
            </w:r>
          </w:p>
        </w:tc>
      </w:tr>
    </w:tbl>
    <w:p>
      <w:pPr>
        <w:pStyle w:val="Smlouva-slo1"/>
        <w:spacing w:lineRule="auto" w:line="240" w:before="720" w:after="0"/>
        <w:rPr>
          <w:rFonts w:ascii="Tahoma" w:hAnsi="Tahoma" w:cs="Tahoma"/>
          <w:sz w:val="22"/>
          <w:szCs w:val="22"/>
        </w:rPr>
      </w:pPr>
      <w:r>
        <w:rPr>
          <w:rFonts w:cs="Tahoma" w:ascii="Tahoma" w:hAnsi="Tahoma"/>
          <w:sz w:val="22"/>
          <w:szCs w:val="22"/>
        </w:rPr>
      </w:r>
    </w:p>
    <w:sectPr>
      <w:footerReference w:type="even" r:id="rId2"/>
      <w:footerReference w:type="default" r:id="rId3"/>
      <w:footerReference w:type="first" r:id="rId4"/>
      <w:type w:val="nextPage"/>
      <w:pgSz w:w="11906" w:h="16838"/>
      <w:pgMar w:left="1418" w:right="1418" w:gutter="0" w:header="0" w:top="1418" w:footer="624"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swiss"/>
    <w:pitch w:val="variable"/>
  </w:font>
  <w:font w:name="Verdana">
    <w:charset w:val="ee"/>
    <w:family w:val="swiss"/>
    <w:pitch w:val="variable"/>
  </w:font>
  <w:font w:name="Courier New">
    <w:charset w:val="ee"/>
    <w:family w:val="roman"/>
    <w:pitch w:val="variable"/>
  </w:font>
  <w:font w:name="Arial">
    <w:charset w:val="ee"/>
    <w:family w:val="swiss"/>
    <w:pitch w:val="variable"/>
  </w:font>
  <w:font w:name="Tahoma">
    <w:charset w:val="ee"/>
    <w:family w:val="swiss"/>
    <w:pitch w:val="variable"/>
  </w:font>
  <w:font w:name="Times New Roman">
    <w:charset w:val="01"/>
    <w:family w:val="roman"/>
    <w:pitch w:val="variable"/>
  </w:font>
  <w:font w:name="Wingdings">
    <w:charset w:val="02"/>
    <w:family w:val="auto"/>
    <w:pitch w:val="variable"/>
  </w:font>
  <w:font w:name="Courier New">
    <w:charset w:val="01"/>
    <w:family w:val="modern"/>
    <w:pitch w:val="fixed"/>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left" w:pos="8820" w:leader="none"/>
      </w:tabs>
      <w:rPr>
        <w:rFonts w:ascii="Tahoma" w:hAnsi="Tahoma" w:cs="Tahoma"/>
        <w:sz w:val="18"/>
        <w:szCs w:val="18"/>
      </w:rPr>
    </w:pPr>
    <w:r>
      <w:rPr>
        <w:rFonts w:cs="Tahoma" w:ascii="Tahoma" w:hAnsi="Tahoma"/>
        <w:sz w:val="18"/>
        <w:szCs w:val="18"/>
      </w:rPr>
      <w:t>Smlouva o dílo na stavbu Chodník Záguří - Těrlicko</w:t>
      <w:tab/>
      <w:tab/>
    </w:r>
    <w:r>
      <w:rPr>
        <w:rStyle w:val="PageNumber"/>
        <w:rFonts w:cs="Tahoma" w:ascii="Tahoma" w:hAnsi="Tahoma"/>
        <w:sz w:val="18"/>
        <w:szCs w:val="18"/>
      </w:rPr>
      <w:fldChar w:fldCharType="begin"/>
    </w:r>
    <w:r>
      <w:rPr>
        <w:rStyle w:val="PageNumber"/>
        <w:rFonts w:cs="Tahoma" w:ascii="Tahoma" w:hAnsi="Tahoma"/>
        <w:sz w:val="18"/>
        <w:szCs w:val="18"/>
      </w:rPr>
      <w:instrText xml:space="preserve"> PAGE </w:instrText>
    </w:r>
    <w:r>
      <w:rPr>
        <w:rStyle w:val="PageNumber"/>
        <w:rFonts w:cs="Tahoma" w:ascii="Tahoma" w:hAnsi="Tahoma"/>
        <w:sz w:val="18"/>
        <w:szCs w:val="18"/>
      </w:rPr>
      <w:fldChar w:fldCharType="separate"/>
    </w:r>
    <w:r>
      <w:rPr>
        <w:rStyle w:val="PageNumber"/>
        <w:rFonts w:cs="Tahoma" w:ascii="Tahoma" w:hAnsi="Tahoma"/>
        <w:sz w:val="18"/>
        <w:szCs w:val="18"/>
      </w:rPr>
      <w:t>17</w:t>
    </w:r>
    <w:r>
      <w:rPr>
        <w:rStyle w:val="PageNumber"/>
        <w:rFonts w:cs="Tahoma" w:ascii="Tahoma" w:hAnsi="Tahoma"/>
        <w:sz w:val="18"/>
        <w:szCs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0" w:color="000000"/>
      </w:pBdr>
      <w:rPr>
        <w:rFonts w:ascii="Tahoma" w:hAnsi="Tahoma" w:cs="Tahoma"/>
        <w:sz w:val="18"/>
        <w:szCs w:val="18"/>
      </w:rPr>
    </w:pPr>
    <w:r>
      <w:rPr>
        <w:rFonts w:cs="Tahoma" w:ascii="Tahoma" w:hAnsi="Tahoma"/>
        <w:sz w:val="18"/>
        <w:szCs w:val="18"/>
      </w:rPr>
      <w:t>Smlouva o dílo na stavbu Chodník Záguří - Těrlicko</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
      <w:lvlJc w:val="left"/>
      <w:pPr>
        <w:tabs>
          <w:tab w:val="num" w:pos="0"/>
        </w:tabs>
        <w:ind w:left="283" w:hanging="283"/>
      </w:pPr>
      <w:rPr>
        <w:rFonts w:ascii="Times New Roman" w:hAnsi="Times New Roman"/>
        <w:b w:val="false"/>
        <w:i w:val="false"/>
        <w:sz w:val="24"/>
        <w:u w:val="non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lowerLetter"/>
      <w:lvlText w:val="%1)"/>
      <w:lvlJc w:val="left"/>
      <w:pPr>
        <w:tabs>
          <w:tab w:val="num" w:pos="851"/>
        </w:tabs>
        <w:ind w:left="851" w:hanging="511"/>
      </w:pPr>
      <w:rPr>
        <w:b w:val="false"/>
        <w:i w:val="false"/>
        <w:sz w:val="22"/>
        <w:szCs w:val="22"/>
      </w:rPr>
    </w:lvl>
    <w:lvl w:ilvl="1">
      <w:start w:val="1"/>
      <w:numFmt w:val="lowerLetter"/>
      <w:lvlText w:val="%2."/>
      <w:lvlJc w:val="left"/>
      <w:pPr>
        <w:tabs>
          <w:tab w:val="num" w:pos="851"/>
        </w:tabs>
        <w:ind w:left="851" w:hanging="511"/>
      </w:pPr>
      <w:rPr/>
    </w:lvl>
    <w:lvl w:ilvl="2">
      <w:start w:val="1"/>
      <w:numFmt w:val="decimal"/>
      <w:lvlText w:val="%3."/>
      <w:lvlJc w:val="left"/>
      <w:pPr>
        <w:tabs>
          <w:tab w:val="num" w:pos="2340"/>
        </w:tabs>
        <w:ind w:left="2340" w:hanging="36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lowerLetter"/>
      <w:lvlText w:val="%1)"/>
      <w:lvlJc w:val="left"/>
      <w:pPr>
        <w:tabs>
          <w:tab w:val="num" w:pos="717"/>
        </w:tabs>
        <w:ind w:left="717" w:hanging="360"/>
      </w:pPr>
      <w:rPr/>
    </w:lvl>
    <w:lvl w:ilvl="1">
      <w:start w:val="1"/>
      <w:numFmt w:val="decimal"/>
      <w:lvlText w:val="%2."/>
      <w:lvlJc w:val="left"/>
      <w:pPr>
        <w:tabs>
          <w:tab w:val="num" w:pos="360"/>
        </w:tabs>
        <w:ind w:left="340" w:hanging="34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360"/>
        </w:tabs>
        <w:ind w:left="357" w:hanging="357"/>
      </w:pPr>
      <w:rPr/>
    </w:lvl>
    <w:lvl w:ilvl="1">
      <w:start w:val="1"/>
      <w:numFmt w:val="lowerLetter"/>
      <w:lvlText w:val="%2."/>
      <w:lvlJc w:val="left"/>
      <w:pPr>
        <w:tabs>
          <w:tab w:val="num" w:pos="1440"/>
        </w:tabs>
        <w:ind w:left="1440" w:hanging="360"/>
      </w:pPr>
      <w:rPr/>
    </w:lvl>
    <w:lvl w:ilvl="2">
      <w:start w:val="1"/>
      <w:numFmt w:val="lowerLetter"/>
      <w:lvlText w:val="%3)"/>
      <w:lvlJc w:val="left"/>
      <w:pPr>
        <w:tabs>
          <w:tab w:val="num" w:pos="737"/>
        </w:tabs>
        <w:ind w:left="737" w:hanging="380"/>
      </w:pPr>
      <w:rPr>
        <w:color w:val="000000"/>
      </w:rPr>
    </w:lvl>
    <w:lvl w:ilvl="3">
      <w:start w:val="1"/>
      <w:numFmt w:val="decimal"/>
      <w:lvlText w:val="%4."/>
      <w:lvlJc w:val="left"/>
      <w:pPr>
        <w:tabs>
          <w:tab w:val="num" w:pos="360"/>
        </w:tabs>
        <w:ind w:left="357" w:hanging="357"/>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360"/>
        </w:tabs>
        <w:ind w:left="357" w:hanging="35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
    <w:lvl w:ilvl="0">
      <w:start w:val="1"/>
      <w:numFmt w:val="decimal"/>
      <w:lvlText w:val="%1."/>
      <w:lvlJc w:val="left"/>
      <w:pPr>
        <w:tabs>
          <w:tab w:val="num" w:pos="567"/>
        </w:tabs>
        <w:ind w:left="567" w:hanging="567"/>
      </w:pPr>
      <w:rPr>
        <w:rFonts w:ascii="Arial" w:hAnsi="Arial"/>
        <w:sz w:val="22"/>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360"/>
        </w:tabs>
        <w:ind w:left="340" w:hanging="340"/>
      </w:pPr>
      <w:rPr>
        <w:b w:val="false"/>
        <w:i w:val="false"/>
        <w:color w:val="auto"/>
      </w:rPr>
    </w:lvl>
    <w:lvl w:ilvl="1">
      <w:start w:val="1"/>
      <w:numFmt w:val="lowerLetter"/>
      <w:lvlText w:val="%2)"/>
      <w:lvlJc w:val="left"/>
      <w:pPr>
        <w:tabs>
          <w:tab w:val="num" w:pos="737"/>
        </w:tabs>
        <w:ind w:left="737" w:hanging="397"/>
      </w:pPr>
      <w:rPr/>
    </w:lvl>
    <w:lvl w:ilvl="2">
      <w:start w:val="1"/>
      <w:numFmt w:val="decimal"/>
      <w:lvlText w:val="%3."/>
      <w:lvlJc w:val="left"/>
      <w:pPr>
        <w:tabs>
          <w:tab w:val="num" w:pos="360"/>
        </w:tabs>
        <w:ind w:left="340" w:hanging="340"/>
      </w:pPr>
      <w:rPr>
        <w:color w:val="auto"/>
      </w:rPr>
    </w:lvl>
    <w:lvl w:ilvl="3">
      <w:start w:val="3"/>
      <w:numFmt w:val="bullet"/>
      <w:lvlText w:val="-"/>
      <w:lvlJc w:val="left"/>
      <w:pPr>
        <w:tabs>
          <w:tab w:val="num" w:pos="2917"/>
        </w:tabs>
        <w:ind w:left="2917" w:hanging="397"/>
      </w:pPr>
      <w:rPr>
        <w:rFonts w:ascii="Times New Roman" w:hAnsi="Times New Roman" w:cs="Times New Roman" w:hint="default"/>
        <w:b w:val="false"/>
        <w:i/>
        <w:color w:val="FF0000"/>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8">
    <w:lvl w:ilvl="0">
      <w:start w:val="1"/>
      <w:numFmt w:val="decimal"/>
      <w:lvlText w:val="%1."/>
      <w:lvlJc w:val="left"/>
      <w:pPr>
        <w:tabs>
          <w:tab w:val="num" w:pos="360"/>
        </w:tabs>
        <w:ind w:left="340" w:hanging="340"/>
      </w:pPr>
      <w:rPr/>
    </w:lvl>
    <w:lvl w:ilvl="1">
      <w:start w:val="1"/>
      <w:numFmt w:val="lowerLetter"/>
      <w:lvlText w:val="%2)"/>
      <w:lvlJc w:val="left"/>
      <w:pPr>
        <w:tabs>
          <w:tab w:val="num" w:pos="737"/>
        </w:tabs>
        <w:ind w:left="737" w:hanging="380"/>
      </w:pPr>
      <w:rPr/>
    </w:lvl>
    <w:lvl w:ilvl="2">
      <w:start w:val="1"/>
      <w:numFmt w:val="decimal"/>
      <w:lvlText w:val="%3."/>
      <w:lvlJc w:val="left"/>
      <w:pPr>
        <w:tabs>
          <w:tab w:val="num" w:pos="360"/>
        </w:tabs>
        <w:ind w:left="340" w:hanging="34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9">
    <w:lvl w:ilvl="0">
      <w:start w:val="1"/>
      <w:numFmt w:val="decimal"/>
      <w:lvlText w:val="%1."/>
      <w:lvlJc w:val="left"/>
      <w:pPr>
        <w:tabs>
          <w:tab w:val="num" w:pos="360"/>
        </w:tabs>
        <w:ind w:left="360" w:hanging="360"/>
      </w:pPr>
      <w:rPr>
        <w:rFonts w:ascii="Tahoma" w:hAnsi="Tahoma" w:cs="Tahoma"/>
        <w:b w:val="false"/>
        <w:i w:val="false"/>
        <w:color w:val="auto"/>
        <w:sz w:val="22"/>
        <w:szCs w:val="22"/>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3"/>
      <w:numFmt w:val="decimal"/>
      <w:lvlText w:val="%1."/>
      <w:lvlJc w:val="left"/>
      <w:pPr>
        <w:tabs>
          <w:tab w:val="num" w:pos="397"/>
        </w:tabs>
        <w:ind w:left="397" w:hanging="397"/>
      </w:pPr>
      <w:rPr>
        <w:rFonts w:ascii="Times New Roman" w:hAnsi="Times New Roman"/>
        <w:b w:val="false"/>
        <w:i w:val="false"/>
        <w:sz w:val="24"/>
      </w:rPr>
    </w:lvl>
    <w:lvl w:ilvl="1">
      <w:start w:val="1"/>
      <w:numFmt w:val="lowerLetter"/>
      <w:lvlText w:val="%2."/>
      <w:lvlJc w:val="left"/>
      <w:pPr>
        <w:tabs>
          <w:tab w:val="num" w:pos="1440"/>
        </w:tabs>
        <w:ind w:left="1440" w:hanging="360"/>
      </w:pPr>
      <w:rPr/>
    </w:lvl>
    <w:lvl w:ilvl="2">
      <w:start w:val="1"/>
      <w:numFmt w:val="lowerLetter"/>
      <w:lvlText w:val="%3)"/>
      <w:lvlJc w:val="left"/>
      <w:pPr>
        <w:tabs>
          <w:tab w:val="num" w:pos="737"/>
        </w:tabs>
        <w:ind w:left="737" w:hanging="3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1">
    <w:lvl w:ilvl="0">
      <w:start w:val="1"/>
      <w:numFmt w:val="decimal"/>
      <w:lvlText w:val="%1."/>
      <w:lvlJc w:val="left"/>
      <w:pPr>
        <w:tabs>
          <w:tab w:val="num" w:pos="360"/>
        </w:tabs>
        <w:ind w:left="360" w:hanging="360"/>
      </w:pPr>
      <w:rPr>
        <w:rFonts w:ascii="Tahoma" w:hAnsi="Tahoma" w:cs="Tahoma"/>
        <w:b w:val="false"/>
        <w:i w:val="false"/>
        <w:sz w:val="22"/>
        <w:szCs w:val="22"/>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2">
    <w:lvl w:ilvl="0">
      <w:start w:val="1"/>
      <w:numFmt w:val="decimal"/>
      <w:lvlText w:val="%1."/>
      <w:lvlJc w:val="left"/>
      <w:pPr>
        <w:tabs>
          <w:tab w:val="num" w:pos="360"/>
        </w:tabs>
        <w:ind w:left="360" w:hanging="360"/>
      </w:pPr>
      <w:rPr>
        <w:rFonts w:ascii="Tahoma" w:hAnsi="Tahoma" w:cs="Tahoma"/>
        <w:b w:val="false"/>
        <w:i w:val="false"/>
        <w:color w:val="auto"/>
        <w:sz w:val="22"/>
        <w:szCs w:val="22"/>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decimal"/>
      <w:lvlText w:val="%1."/>
      <w:lvlJc w:val="left"/>
      <w:pPr>
        <w:tabs>
          <w:tab w:val="num" w:pos="360"/>
        </w:tabs>
        <w:ind w:left="360" w:hanging="360"/>
      </w:pPr>
      <w:rPr/>
    </w:lvl>
    <w:lvl w:ilvl="1">
      <w:start w:val="1"/>
      <w:numFmt w:val="decimal"/>
      <w:lvlText w:val="%1.%2."/>
      <w:lvlJc w:val="left"/>
      <w:pPr>
        <w:tabs>
          <w:tab w:val="num" w:pos="792"/>
        </w:tabs>
        <w:ind w:left="792" w:hanging="432"/>
      </w:pPr>
      <w:rPr/>
    </w:lvl>
    <w:lvl w:ilvl="2">
      <w:start w:val="1"/>
      <w:numFmt w:val="decimal"/>
      <w:lvlText w:val="%1.%2.%3."/>
      <w:lvlJc w:val="left"/>
      <w:pPr>
        <w:tabs>
          <w:tab w:val="num" w:pos="1440"/>
        </w:tabs>
        <w:ind w:left="1224" w:hanging="504"/>
      </w:pPr>
      <w:rPr/>
    </w:lvl>
    <w:lvl w:ilvl="3">
      <w:start w:val="1"/>
      <w:numFmt w:val="decimal"/>
      <w:lvlText w:val="%1.%2.%3.%4."/>
      <w:lvlJc w:val="left"/>
      <w:pPr>
        <w:tabs>
          <w:tab w:val="num" w:pos="180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4">
    <w:lvl w:ilvl="0">
      <w:start w:val="1"/>
      <w:numFmt w:val="decimal"/>
      <w:lvlText w:val="%1."/>
      <w:lvlJc w:val="left"/>
      <w:pPr>
        <w:tabs>
          <w:tab w:val="num" w:pos="360"/>
        </w:tabs>
        <w:ind w:left="357" w:hanging="357"/>
      </w:pPr>
      <w:rPr>
        <w:b w:val="false"/>
        <w:i w:val="false"/>
        <w:color w:val="auto"/>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5">
    <w:lvl w:ilvl="0">
      <w:start w:val="1"/>
      <w:numFmt w:val="decimal"/>
      <w:lvlText w:val="%1."/>
      <w:lvlJc w:val="left"/>
      <w:pPr>
        <w:tabs>
          <w:tab w:val="num" w:pos="360"/>
        </w:tabs>
        <w:ind w:left="357" w:hanging="357"/>
      </w:pPr>
      <w:rPr>
        <w:b w:val="false"/>
        <w:i w:val="false"/>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6">
    <w:lvl w:ilvl="0">
      <w:start w:val="1"/>
      <w:numFmt w:val="decimal"/>
      <w:lvlText w:val="%1."/>
      <w:lvlJc w:val="left"/>
      <w:pPr>
        <w:tabs>
          <w:tab w:val="num" w:pos="360"/>
        </w:tabs>
        <w:ind w:left="357" w:hanging="357"/>
      </w:pPr>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7">
    <w:lvl w:ilvl="0">
      <w:start w:val="1"/>
      <w:numFmt w:val="decimal"/>
      <w:lvlText w:val="%1."/>
      <w:lvlJc w:val="left"/>
      <w:pPr>
        <w:tabs>
          <w:tab w:val="num" w:pos="360"/>
        </w:tabs>
        <w:ind w:left="340" w:hanging="340"/>
      </w:pPr>
      <w:rPr>
        <w:rFonts w:ascii="Tahoma" w:hAnsi="Tahoma" w:cs="Tahoma"/>
        <w:b w:val="false"/>
        <w:i w:val="false"/>
        <w:color w:val="auto"/>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8">
    <w:lvl w:ilvl="0">
      <w:start w:val="1"/>
      <w:numFmt w:val="decimal"/>
      <w:lvlText w:val="%1."/>
      <w:lvlJc w:val="left"/>
      <w:pPr>
        <w:tabs>
          <w:tab w:val="num" w:pos="397"/>
        </w:tabs>
        <w:ind w:left="397" w:hanging="397"/>
      </w:pPr>
      <w:rPr>
        <w:rFonts w:ascii="Tahoma" w:hAnsi="Tahoma" w:cs="Tahoma"/>
        <w:b w:val="false"/>
        <w:i w:val="false"/>
        <w:sz w:val="22"/>
        <w:szCs w:val="22"/>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9">
    <w:lvl w:ilvl="0">
      <w:start w:val="1"/>
      <w:numFmt w:val="lowerLetter"/>
      <w:lvlText w:val="%1)"/>
      <w:lvlJc w:val="left"/>
      <w:pPr>
        <w:tabs>
          <w:tab w:val="num" w:pos="720"/>
        </w:tabs>
        <w:ind w:left="720" w:hanging="380"/>
      </w:pPr>
      <w:rPr/>
    </w:lvl>
    <w:lvl w:ilvl="1">
      <w:start w:val="1"/>
      <w:numFmt w:val="lowerLetter"/>
      <w:lvlText w:val="%2."/>
      <w:lvlJc w:val="left"/>
      <w:pPr>
        <w:tabs>
          <w:tab w:val="num" w:pos="1423"/>
        </w:tabs>
        <w:ind w:left="1423" w:hanging="360"/>
      </w:pPr>
      <w:rPr/>
    </w:lvl>
    <w:lvl w:ilvl="2">
      <w:start w:val="1"/>
      <w:numFmt w:val="lowerRoman"/>
      <w:lvlText w:val="%3."/>
      <w:lvlJc w:val="right"/>
      <w:pPr>
        <w:tabs>
          <w:tab w:val="num" w:pos="2143"/>
        </w:tabs>
        <w:ind w:left="2143" w:hanging="180"/>
      </w:pPr>
      <w:rPr/>
    </w:lvl>
    <w:lvl w:ilvl="3">
      <w:start w:val="1"/>
      <w:numFmt w:val="decimal"/>
      <w:lvlText w:val="%4."/>
      <w:lvlJc w:val="left"/>
      <w:pPr>
        <w:tabs>
          <w:tab w:val="num" w:pos="2863"/>
        </w:tabs>
        <w:ind w:left="2863" w:hanging="360"/>
      </w:pPr>
      <w:rPr/>
    </w:lvl>
    <w:lvl w:ilvl="4">
      <w:start w:val="1"/>
      <w:numFmt w:val="lowerLetter"/>
      <w:lvlText w:val="%5."/>
      <w:lvlJc w:val="left"/>
      <w:pPr>
        <w:tabs>
          <w:tab w:val="num" w:pos="3583"/>
        </w:tabs>
        <w:ind w:left="3583" w:hanging="360"/>
      </w:pPr>
      <w:rPr/>
    </w:lvl>
    <w:lvl w:ilvl="5">
      <w:start w:val="1"/>
      <w:numFmt w:val="lowerRoman"/>
      <w:lvlText w:val="%6."/>
      <w:lvlJc w:val="right"/>
      <w:pPr>
        <w:tabs>
          <w:tab w:val="num" w:pos="4303"/>
        </w:tabs>
        <w:ind w:left="4303" w:hanging="180"/>
      </w:pPr>
      <w:rPr/>
    </w:lvl>
    <w:lvl w:ilvl="6">
      <w:start w:val="1"/>
      <w:numFmt w:val="decimal"/>
      <w:lvlText w:val="%7."/>
      <w:lvlJc w:val="left"/>
      <w:pPr>
        <w:tabs>
          <w:tab w:val="num" w:pos="5023"/>
        </w:tabs>
        <w:ind w:left="5023" w:hanging="360"/>
      </w:pPr>
      <w:rPr/>
    </w:lvl>
    <w:lvl w:ilvl="7">
      <w:start w:val="1"/>
      <w:numFmt w:val="lowerLetter"/>
      <w:lvlText w:val="%8."/>
      <w:lvlJc w:val="left"/>
      <w:pPr>
        <w:tabs>
          <w:tab w:val="num" w:pos="5743"/>
        </w:tabs>
        <w:ind w:left="5743" w:hanging="360"/>
      </w:pPr>
      <w:rPr/>
    </w:lvl>
    <w:lvl w:ilvl="8">
      <w:start w:val="1"/>
      <w:numFmt w:val="lowerRoman"/>
      <w:lvlText w:val="%9."/>
      <w:lvlJc w:val="right"/>
      <w:pPr>
        <w:tabs>
          <w:tab w:val="num" w:pos="6463"/>
        </w:tabs>
        <w:ind w:left="6463" w:hanging="180"/>
      </w:pPr>
      <w:rPr/>
    </w:lvl>
  </w:abstractNum>
  <w:abstractNum w:abstractNumId="20">
    <w:lvl w:ilvl="0">
      <w:start w:val="1"/>
      <w:numFmt w:val="lowerLetter"/>
      <w:lvlText w:val="%1)"/>
      <w:lvlJc w:val="left"/>
      <w:pPr>
        <w:tabs>
          <w:tab w:val="num" w:pos="737"/>
        </w:tabs>
        <w:ind w:left="737" w:hanging="39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1">
    <w:lvl w:ilvl="0">
      <w:start w:val="1"/>
      <w:numFmt w:val="lowerLetter"/>
      <w:lvlText w:val="%1)"/>
      <w:lvlJc w:val="left"/>
      <w:pPr>
        <w:tabs>
          <w:tab w:val="num" w:pos="717"/>
        </w:tabs>
        <w:ind w:left="714" w:hanging="357"/>
      </w:pPr>
      <w:rPr/>
    </w:lvl>
    <w:lvl w:ilvl="1">
      <w:start w:val="1"/>
      <w:numFmt w:val="lowerLetter"/>
      <w:lvlText w:val="%2."/>
      <w:lvlJc w:val="left"/>
      <w:pPr>
        <w:tabs>
          <w:tab w:val="num" w:pos="1797"/>
        </w:tabs>
        <w:ind w:left="1797" w:hanging="360"/>
      </w:pPr>
      <w:rPr/>
    </w:lvl>
    <w:lvl w:ilvl="2">
      <w:start w:val="1"/>
      <w:numFmt w:val="lowerRoman"/>
      <w:lvlText w:val="%3."/>
      <w:lvlJc w:val="right"/>
      <w:pPr>
        <w:tabs>
          <w:tab w:val="num" w:pos="2517"/>
        </w:tabs>
        <w:ind w:left="2517" w:hanging="180"/>
      </w:pPr>
      <w:rPr/>
    </w:lvl>
    <w:lvl w:ilvl="3">
      <w:start w:val="1"/>
      <w:numFmt w:val="decimal"/>
      <w:lvlText w:val="%4."/>
      <w:lvlJc w:val="left"/>
      <w:pPr>
        <w:tabs>
          <w:tab w:val="num" w:pos="3237"/>
        </w:tabs>
        <w:ind w:left="3237" w:hanging="360"/>
      </w:pPr>
      <w:rPr/>
    </w:lvl>
    <w:lvl w:ilvl="4">
      <w:start w:val="1"/>
      <w:numFmt w:val="lowerLetter"/>
      <w:lvlText w:val="%5."/>
      <w:lvlJc w:val="left"/>
      <w:pPr>
        <w:tabs>
          <w:tab w:val="num" w:pos="3957"/>
        </w:tabs>
        <w:ind w:left="3957" w:hanging="360"/>
      </w:pPr>
      <w:rPr/>
    </w:lvl>
    <w:lvl w:ilvl="5">
      <w:start w:val="1"/>
      <w:numFmt w:val="lowerRoman"/>
      <w:lvlText w:val="%6."/>
      <w:lvlJc w:val="right"/>
      <w:pPr>
        <w:tabs>
          <w:tab w:val="num" w:pos="4677"/>
        </w:tabs>
        <w:ind w:left="4677" w:hanging="180"/>
      </w:pPr>
      <w:rPr/>
    </w:lvl>
    <w:lvl w:ilvl="6">
      <w:start w:val="1"/>
      <w:numFmt w:val="decimal"/>
      <w:lvlText w:val="%7."/>
      <w:lvlJc w:val="left"/>
      <w:pPr>
        <w:tabs>
          <w:tab w:val="num" w:pos="5397"/>
        </w:tabs>
        <w:ind w:left="5397" w:hanging="360"/>
      </w:pPr>
      <w:rPr/>
    </w:lvl>
    <w:lvl w:ilvl="7">
      <w:start w:val="1"/>
      <w:numFmt w:val="lowerLetter"/>
      <w:lvlText w:val="%8."/>
      <w:lvlJc w:val="left"/>
      <w:pPr>
        <w:tabs>
          <w:tab w:val="num" w:pos="6117"/>
        </w:tabs>
        <w:ind w:left="6117" w:hanging="360"/>
      </w:pPr>
      <w:rPr/>
    </w:lvl>
    <w:lvl w:ilvl="8">
      <w:start w:val="1"/>
      <w:numFmt w:val="lowerRoman"/>
      <w:lvlText w:val="%9."/>
      <w:lvlJc w:val="right"/>
      <w:pPr>
        <w:tabs>
          <w:tab w:val="num" w:pos="6837"/>
        </w:tabs>
        <w:ind w:left="6837" w:hanging="180"/>
      </w:pPr>
      <w:rPr/>
    </w:lvl>
  </w:abstractNum>
  <w:abstractNum w:abstractNumId="22">
    <w:lvl w:ilvl="0">
      <w:start w:val="1"/>
      <w:numFmt w:val="decimal"/>
      <w:lvlText w:val="%1."/>
      <w:lvlJc w:val="left"/>
      <w:pPr>
        <w:tabs>
          <w:tab w:val="num" w:pos="360"/>
        </w:tabs>
        <w:ind w:left="360" w:hanging="360"/>
      </w:pPr>
      <w:rPr>
        <w:b w:val="false"/>
        <w:i w:val="fals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2520"/>
        </w:tabs>
        <w:ind w:left="2520" w:hanging="360"/>
      </w:pPr>
      <w:rPr>
        <w:rFonts w:ascii="Symbol" w:hAnsi="Symbol" w:cs="Symbol" w:hint="default"/>
        <w:color w:val="auto"/>
        <w:sz w:val="20"/>
      </w:rPr>
    </w:lvl>
    <w:lvl w:ilvl="1">
      <w:start w:val="1"/>
      <w:numFmt w:val="bullet"/>
      <w:lvlText w:val="o"/>
      <w:lvlJc w:val="left"/>
      <w:pPr>
        <w:tabs>
          <w:tab w:val="num" w:pos="1740"/>
        </w:tabs>
        <w:ind w:left="1740" w:hanging="360"/>
      </w:pPr>
      <w:rPr>
        <w:rFonts w:ascii="Courier New" w:hAnsi="Courier New" w:cs="Courier New" w:hint="default"/>
      </w:rPr>
    </w:lvl>
    <w:lvl w:ilvl="2">
      <w:start w:val="1"/>
      <w:numFmt w:val="bullet"/>
      <w:lvlText w:val=""/>
      <w:lvlJc w:val="left"/>
      <w:pPr>
        <w:tabs>
          <w:tab w:val="num" w:pos="2460"/>
        </w:tabs>
        <w:ind w:left="2460" w:hanging="360"/>
      </w:pPr>
      <w:rPr>
        <w:rFonts w:ascii="Wingdings" w:hAnsi="Wingdings" w:cs="Wingdings" w:hint="default"/>
      </w:rPr>
    </w:lvl>
    <w:lvl w:ilvl="3">
      <w:start w:val="1"/>
      <w:numFmt w:val="bullet"/>
      <w:lvlText w:val=""/>
      <w:lvlJc w:val="left"/>
      <w:pPr>
        <w:tabs>
          <w:tab w:val="num" w:pos="3180"/>
        </w:tabs>
        <w:ind w:left="3180" w:hanging="360"/>
      </w:pPr>
      <w:rPr>
        <w:rFonts w:ascii="Symbol" w:hAnsi="Symbol" w:cs="Symbol" w:hint="default"/>
      </w:rPr>
    </w:lvl>
    <w:lvl w:ilvl="4">
      <w:start w:val="1"/>
      <w:numFmt w:val="bullet"/>
      <w:lvlText w:val="o"/>
      <w:lvlJc w:val="left"/>
      <w:pPr>
        <w:tabs>
          <w:tab w:val="num" w:pos="3900"/>
        </w:tabs>
        <w:ind w:left="3900" w:hanging="360"/>
      </w:pPr>
      <w:rPr>
        <w:rFonts w:ascii="Courier New" w:hAnsi="Courier New" w:cs="Courier New" w:hint="default"/>
      </w:rPr>
    </w:lvl>
    <w:lvl w:ilvl="5">
      <w:start w:val="1"/>
      <w:numFmt w:val="bullet"/>
      <w:lvlText w:val=""/>
      <w:lvlJc w:val="left"/>
      <w:pPr>
        <w:tabs>
          <w:tab w:val="num" w:pos="4620"/>
        </w:tabs>
        <w:ind w:left="4620" w:hanging="360"/>
      </w:pPr>
      <w:rPr>
        <w:rFonts w:ascii="Wingdings" w:hAnsi="Wingdings" w:cs="Wingdings" w:hint="default"/>
      </w:rPr>
    </w:lvl>
    <w:lvl w:ilvl="6">
      <w:start w:val="1"/>
      <w:numFmt w:val="bullet"/>
      <w:lvlText w:val=""/>
      <w:lvlJc w:val="left"/>
      <w:pPr>
        <w:tabs>
          <w:tab w:val="num" w:pos="5340"/>
        </w:tabs>
        <w:ind w:left="5340" w:hanging="360"/>
      </w:pPr>
      <w:rPr>
        <w:rFonts w:ascii="Symbol" w:hAnsi="Symbol" w:cs="Symbol" w:hint="default"/>
      </w:rPr>
    </w:lvl>
    <w:lvl w:ilvl="7">
      <w:start w:val="1"/>
      <w:numFmt w:val="bullet"/>
      <w:lvlText w:val="o"/>
      <w:lvlJc w:val="left"/>
      <w:pPr>
        <w:tabs>
          <w:tab w:val="num" w:pos="6060"/>
        </w:tabs>
        <w:ind w:left="6060" w:hanging="360"/>
      </w:pPr>
      <w:rPr>
        <w:rFonts w:ascii="Courier New" w:hAnsi="Courier New" w:cs="Courier New" w:hint="default"/>
      </w:rPr>
    </w:lvl>
    <w:lvl w:ilvl="8">
      <w:start w:val="1"/>
      <w:numFmt w:val="bullet"/>
      <w:lvlText w:val=""/>
      <w:lvlJc w:val="left"/>
      <w:pPr>
        <w:tabs>
          <w:tab w:val="num" w:pos="6780"/>
        </w:tabs>
        <w:ind w:left="6780" w:hanging="360"/>
      </w:pPr>
      <w:rPr>
        <w:rFonts w:ascii="Wingdings" w:hAnsi="Wingdings" w:cs="Wingdings" w:hint="default"/>
      </w:rPr>
    </w:lvl>
  </w:abstractNum>
  <w:abstractNum w:abstractNumId="24">
    <w:lvl w:ilvl="0">
      <w:start w:val="1"/>
      <w:numFmt w:val="lowerLetter"/>
      <w:lvlText w:val="%1)"/>
      <w:lvlJc w:val="left"/>
      <w:pPr>
        <w:tabs>
          <w:tab w:val="num" w:pos="1362"/>
        </w:tabs>
        <w:ind w:left="1362" w:hanging="511"/>
      </w:pPr>
      <w:rPr>
        <w:b w:val="false"/>
        <w:i w:val="false"/>
        <w:sz w:val="22"/>
        <w:szCs w:val="22"/>
      </w:rPr>
    </w:lvl>
    <w:lvl w:ilvl="1">
      <w:start w:val="1"/>
      <w:numFmt w:val="lowerLetter"/>
      <w:lvlText w:val="%2."/>
      <w:lvlJc w:val="left"/>
      <w:pPr>
        <w:tabs>
          <w:tab w:val="num" w:pos="1951"/>
        </w:tabs>
        <w:ind w:left="1951" w:hanging="360"/>
      </w:pPr>
      <w:rPr/>
    </w:lvl>
    <w:lvl w:ilvl="2">
      <w:start w:val="1"/>
      <w:numFmt w:val="lowerRoman"/>
      <w:lvlText w:val="%3."/>
      <w:lvlJc w:val="right"/>
      <w:pPr>
        <w:tabs>
          <w:tab w:val="num" w:pos="2671"/>
        </w:tabs>
        <w:ind w:left="2671" w:hanging="180"/>
      </w:pPr>
      <w:rPr/>
    </w:lvl>
    <w:lvl w:ilvl="3">
      <w:start w:val="1"/>
      <w:numFmt w:val="decimal"/>
      <w:lvlText w:val="%4."/>
      <w:lvlJc w:val="left"/>
      <w:pPr>
        <w:tabs>
          <w:tab w:val="num" w:pos="3391"/>
        </w:tabs>
        <w:ind w:left="3391" w:hanging="360"/>
      </w:pPr>
      <w:rPr/>
    </w:lvl>
    <w:lvl w:ilvl="4">
      <w:start w:val="1"/>
      <w:numFmt w:val="lowerLetter"/>
      <w:lvlText w:val="%5."/>
      <w:lvlJc w:val="left"/>
      <w:pPr>
        <w:tabs>
          <w:tab w:val="num" w:pos="4111"/>
        </w:tabs>
        <w:ind w:left="4111" w:hanging="360"/>
      </w:pPr>
      <w:rPr/>
    </w:lvl>
    <w:lvl w:ilvl="5">
      <w:start w:val="1"/>
      <w:numFmt w:val="lowerRoman"/>
      <w:lvlText w:val="%6."/>
      <w:lvlJc w:val="right"/>
      <w:pPr>
        <w:tabs>
          <w:tab w:val="num" w:pos="4831"/>
        </w:tabs>
        <w:ind w:left="4831" w:hanging="180"/>
      </w:pPr>
      <w:rPr/>
    </w:lvl>
    <w:lvl w:ilvl="6">
      <w:start w:val="1"/>
      <w:numFmt w:val="decimal"/>
      <w:lvlText w:val="%7."/>
      <w:lvlJc w:val="left"/>
      <w:pPr>
        <w:tabs>
          <w:tab w:val="num" w:pos="5551"/>
        </w:tabs>
        <w:ind w:left="5551" w:hanging="360"/>
      </w:pPr>
      <w:rPr/>
    </w:lvl>
    <w:lvl w:ilvl="7">
      <w:start w:val="1"/>
      <w:numFmt w:val="lowerLetter"/>
      <w:lvlText w:val="%8."/>
      <w:lvlJc w:val="left"/>
      <w:pPr>
        <w:tabs>
          <w:tab w:val="num" w:pos="6271"/>
        </w:tabs>
        <w:ind w:left="6271" w:hanging="360"/>
      </w:pPr>
      <w:rPr/>
    </w:lvl>
    <w:lvl w:ilvl="8">
      <w:start w:val="1"/>
      <w:numFmt w:val="lowerRoman"/>
      <w:lvlText w:val="%9."/>
      <w:lvlJc w:val="right"/>
      <w:pPr>
        <w:tabs>
          <w:tab w:val="num" w:pos="6991"/>
        </w:tabs>
        <w:ind w:left="6991" w:hanging="180"/>
      </w:pPr>
      <w:rPr/>
    </w:lvl>
  </w:abstractNum>
  <w:abstractNum w:abstractNumId="25">
    <w:lvl w:ilvl="0">
      <w:start w:val="1"/>
      <w:numFmt w:val="lowerLetter"/>
      <w:lvlText w:val="%1)"/>
      <w:lvlJc w:val="left"/>
      <w:pPr>
        <w:tabs>
          <w:tab w:val="num" w:pos="397"/>
        </w:tabs>
        <w:ind w:left="397" w:hanging="397"/>
      </w:pPr>
      <w:rPr/>
    </w:lvl>
    <w:lvl w:ilvl="1">
      <w:start w:val="1"/>
      <w:numFmt w:val="lowerLetter"/>
      <w:lvlText w:val="%2."/>
      <w:lvlJc w:val="left"/>
      <w:pPr>
        <w:tabs>
          <w:tab w:val="num" w:pos="1100"/>
        </w:tabs>
        <w:ind w:left="1100" w:hanging="360"/>
      </w:pPr>
      <w:rPr/>
    </w:lvl>
    <w:lvl w:ilvl="2">
      <w:start w:val="1"/>
      <w:numFmt w:val="lowerRoman"/>
      <w:lvlText w:val="%3."/>
      <w:lvlJc w:val="right"/>
      <w:pPr>
        <w:tabs>
          <w:tab w:val="num" w:pos="1820"/>
        </w:tabs>
        <w:ind w:left="1820" w:hanging="180"/>
      </w:pPr>
      <w:rPr/>
    </w:lvl>
    <w:lvl w:ilvl="3">
      <w:start w:val="1"/>
      <w:numFmt w:val="decimal"/>
      <w:lvlText w:val="%4."/>
      <w:lvlJc w:val="left"/>
      <w:pPr>
        <w:tabs>
          <w:tab w:val="num" w:pos="2540"/>
        </w:tabs>
        <w:ind w:left="2540" w:hanging="360"/>
      </w:pPr>
      <w:rPr/>
    </w:lvl>
    <w:lvl w:ilvl="4">
      <w:start w:val="1"/>
      <w:numFmt w:val="lowerLetter"/>
      <w:lvlText w:val="%5."/>
      <w:lvlJc w:val="left"/>
      <w:pPr>
        <w:tabs>
          <w:tab w:val="num" w:pos="3260"/>
        </w:tabs>
        <w:ind w:left="3260" w:hanging="360"/>
      </w:pPr>
      <w:rPr/>
    </w:lvl>
    <w:lvl w:ilvl="5">
      <w:start w:val="1"/>
      <w:numFmt w:val="lowerRoman"/>
      <w:lvlText w:val="%6."/>
      <w:lvlJc w:val="right"/>
      <w:pPr>
        <w:tabs>
          <w:tab w:val="num" w:pos="3980"/>
        </w:tabs>
        <w:ind w:left="3980" w:hanging="180"/>
      </w:pPr>
      <w:rPr/>
    </w:lvl>
    <w:lvl w:ilvl="6">
      <w:start w:val="1"/>
      <w:numFmt w:val="decimal"/>
      <w:lvlText w:val="%7."/>
      <w:lvlJc w:val="left"/>
      <w:pPr>
        <w:tabs>
          <w:tab w:val="num" w:pos="4700"/>
        </w:tabs>
        <w:ind w:left="4700" w:hanging="360"/>
      </w:pPr>
      <w:rPr/>
    </w:lvl>
    <w:lvl w:ilvl="7">
      <w:start w:val="1"/>
      <w:numFmt w:val="lowerLetter"/>
      <w:lvlText w:val="%8."/>
      <w:lvlJc w:val="left"/>
      <w:pPr>
        <w:tabs>
          <w:tab w:val="num" w:pos="5420"/>
        </w:tabs>
        <w:ind w:left="5420" w:hanging="360"/>
      </w:pPr>
      <w:rPr/>
    </w:lvl>
    <w:lvl w:ilvl="8">
      <w:start w:val="1"/>
      <w:numFmt w:val="lowerRoman"/>
      <w:lvlText w:val="%9."/>
      <w:lvlJc w:val="right"/>
      <w:pPr>
        <w:tabs>
          <w:tab w:val="num" w:pos="6140"/>
        </w:tabs>
        <w:ind w:left="6140" w:hanging="180"/>
      </w:pPr>
      <w:rPr/>
    </w:lvl>
  </w:abstractNum>
  <w:abstractNum w:abstractNumId="26">
    <w:lvl w:ilvl="0">
      <w:start w:val="1"/>
      <w:numFmt w:val="bullet"/>
      <w:lvlText w:val=""/>
      <w:lvlJc w:val="left"/>
      <w:pPr>
        <w:tabs>
          <w:tab w:val="num" w:pos="360"/>
        </w:tabs>
        <w:ind w:left="360" w:hanging="360"/>
      </w:pPr>
      <w:rPr>
        <w:rFonts w:ascii="Symbol" w:hAnsi="Symbol" w:cs="Symbol" w:hint="default"/>
        <w:b w:val="false"/>
        <w:i w:val="false"/>
        <w:color w:val="auto"/>
      </w:rPr>
    </w:lvl>
    <w:lvl w:ilvl="1">
      <w:start w:val="1"/>
      <w:numFmt w:val="lowerLetter"/>
      <w:lvlText w:val="%2)"/>
      <w:lvlJc w:val="left"/>
      <w:pPr>
        <w:tabs>
          <w:tab w:val="num" w:pos="737"/>
        </w:tabs>
        <w:ind w:left="737" w:hanging="397"/>
      </w:pPr>
      <w:rPr/>
    </w:lvl>
    <w:lvl w:ilvl="2">
      <w:start w:val="1"/>
      <w:numFmt w:val="decimal"/>
      <w:lvlText w:val="%3."/>
      <w:lvlJc w:val="left"/>
      <w:pPr>
        <w:tabs>
          <w:tab w:val="num" w:pos="360"/>
        </w:tabs>
        <w:ind w:left="340" w:hanging="340"/>
      </w:pPr>
      <w:rPr>
        <w:color w:val="auto"/>
      </w:rPr>
    </w:lvl>
    <w:lvl w:ilvl="3">
      <w:start w:val="3"/>
      <w:numFmt w:val="bullet"/>
      <w:lvlText w:val="-"/>
      <w:lvlJc w:val="left"/>
      <w:pPr>
        <w:tabs>
          <w:tab w:val="num" w:pos="2917"/>
        </w:tabs>
        <w:ind w:left="2917" w:hanging="397"/>
      </w:pPr>
      <w:rPr>
        <w:rFonts w:ascii="Times New Roman" w:hAnsi="Times New Roman" w:cs="Times New Roman" w:hint="default"/>
        <w:b w:val="false"/>
        <w:i/>
        <w:color w:val="FF0000"/>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7">
    <w:lvl w:ilvl="0">
      <w:start w:val="1"/>
      <w:numFmt w:val="lowerLetter"/>
      <w:lvlText w:val="%1)"/>
      <w:lvlJc w:val="left"/>
      <w:pPr>
        <w:tabs>
          <w:tab w:val="num" w:pos="1545"/>
        </w:tabs>
        <w:ind w:left="1545" w:hanging="465"/>
      </w:pPr>
      <w:rPr>
        <w:b w:val="false"/>
        <w:i w:val="false"/>
        <w:sz w:val="22"/>
        <w:szCs w:val="22"/>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8">
    <w:lvl w:ilvl="0">
      <w:start w:val="1"/>
      <w:numFmt w:val="lowerLetter"/>
      <w:lvlText w:val="%1)"/>
      <w:lvlJc w:val="left"/>
      <w:pPr>
        <w:tabs>
          <w:tab w:val="num" w:pos="700"/>
        </w:tabs>
        <w:ind w:left="700" w:hanging="360"/>
      </w:pPr>
      <w:rPr>
        <w:color w:val="auto"/>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9">
    <w:lvl w:ilvl="0">
      <w:start w:val="1"/>
      <w:numFmt w:val="lowerLetter"/>
      <w:lvlText w:val="%1)"/>
      <w:lvlJc w:val="left"/>
      <w:pPr>
        <w:tabs>
          <w:tab w:val="num" w:pos="0"/>
        </w:tabs>
        <w:ind w:left="1077" w:hanging="360"/>
      </w:pPr>
      <w:rPr>
        <w:b w:val="false"/>
        <w:i w:val="false"/>
        <w:sz w:val="22"/>
        <w:szCs w:val="22"/>
      </w:rPr>
    </w:lvl>
    <w:lvl w:ilvl="1">
      <w:start w:val="1"/>
      <w:numFmt w:val="lowerLetter"/>
      <w:lvlText w:val="%2."/>
      <w:lvlJc w:val="left"/>
      <w:pPr>
        <w:tabs>
          <w:tab w:val="num" w:pos="0"/>
        </w:tabs>
        <w:ind w:left="1797" w:hanging="360"/>
      </w:pPr>
      <w:rPr/>
    </w:lvl>
    <w:lvl w:ilvl="2">
      <w:start w:val="1"/>
      <w:numFmt w:val="lowerRoman"/>
      <w:lvlText w:val="%3."/>
      <w:lvlJc w:val="right"/>
      <w:pPr>
        <w:tabs>
          <w:tab w:val="num" w:pos="0"/>
        </w:tabs>
        <w:ind w:left="2517" w:hanging="180"/>
      </w:pPr>
      <w:rPr/>
    </w:lvl>
    <w:lvl w:ilvl="3">
      <w:start w:val="1"/>
      <w:numFmt w:val="decimal"/>
      <w:lvlText w:val="%4."/>
      <w:lvlJc w:val="left"/>
      <w:pPr>
        <w:tabs>
          <w:tab w:val="num" w:pos="0"/>
        </w:tabs>
        <w:ind w:left="3237" w:hanging="360"/>
      </w:pPr>
      <w:rPr/>
    </w:lvl>
    <w:lvl w:ilvl="4">
      <w:start w:val="1"/>
      <w:numFmt w:val="lowerLetter"/>
      <w:lvlText w:val="%5."/>
      <w:lvlJc w:val="left"/>
      <w:pPr>
        <w:tabs>
          <w:tab w:val="num" w:pos="0"/>
        </w:tabs>
        <w:ind w:left="3957" w:hanging="360"/>
      </w:pPr>
      <w:rPr/>
    </w:lvl>
    <w:lvl w:ilvl="5">
      <w:start w:val="1"/>
      <w:numFmt w:val="lowerRoman"/>
      <w:lvlText w:val="%6."/>
      <w:lvlJc w:val="right"/>
      <w:pPr>
        <w:tabs>
          <w:tab w:val="num" w:pos="0"/>
        </w:tabs>
        <w:ind w:left="4677" w:hanging="180"/>
      </w:pPr>
      <w:rPr/>
    </w:lvl>
    <w:lvl w:ilvl="6">
      <w:start w:val="1"/>
      <w:numFmt w:val="decimal"/>
      <w:lvlText w:val="%7."/>
      <w:lvlJc w:val="left"/>
      <w:pPr>
        <w:tabs>
          <w:tab w:val="num" w:pos="0"/>
        </w:tabs>
        <w:ind w:left="5397" w:hanging="360"/>
      </w:pPr>
      <w:rPr/>
    </w:lvl>
    <w:lvl w:ilvl="7">
      <w:start w:val="1"/>
      <w:numFmt w:val="lowerLetter"/>
      <w:lvlText w:val="%8."/>
      <w:lvlJc w:val="left"/>
      <w:pPr>
        <w:tabs>
          <w:tab w:val="num" w:pos="0"/>
        </w:tabs>
        <w:ind w:left="6117" w:hanging="360"/>
      </w:pPr>
      <w:rPr/>
    </w:lvl>
    <w:lvl w:ilvl="8">
      <w:start w:val="1"/>
      <w:numFmt w:val="lowerRoman"/>
      <w:lvlText w:val="%9."/>
      <w:lvlJc w:val="right"/>
      <w:pPr>
        <w:tabs>
          <w:tab w:val="num" w:pos="0"/>
        </w:tabs>
        <w:ind w:left="6837" w:hanging="180"/>
      </w:pPr>
      <w:rPr/>
    </w:lvl>
  </w:abstractNum>
  <w:abstractNum w:abstractNumId="30">
    <w:lvl w:ilvl="0">
      <w:numFmt w:val="bullet"/>
      <w:lvlText w:val="-"/>
      <w:lvlJc w:val="left"/>
      <w:pPr>
        <w:tabs>
          <w:tab w:val="num" w:pos="0"/>
        </w:tabs>
        <w:ind w:left="1077" w:hanging="360"/>
      </w:pPr>
      <w:rPr>
        <w:rFonts w:ascii="Tahoma" w:hAnsi="Tahoma" w:cs="Tahoma" w:hint="default"/>
        <w:b w:val="false"/>
        <w:i w:val="false"/>
        <w:sz w:val="22"/>
        <w:szCs w:val="22"/>
      </w:rPr>
    </w:lvl>
    <w:lvl w:ilvl="1">
      <w:start w:val="1"/>
      <w:numFmt w:val="lowerLetter"/>
      <w:lvlText w:val="%2."/>
      <w:lvlJc w:val="left"/>
      <w:pPr>
        <w:tabs>
          <w:tab w:val="num" w:pos="0"/>
        </w:tabs>
        <w:ind w:left="1797" w:hanging="360"/>
      </w:pPr>
      <w:rPr/>
    </w:lvl>
    <w:lvl w:ilvl="2">
      <w:start w:val="1"/>
      <w:numFmt w:val="lowerRoman"/>
      <w:lvlText w:val="%3."/>
      <w:lvlJc w:val="right"/>
      <w:pPr>
        <w:tabs>
          <w:tab w:val="num" w:pos="0"/>
        </w:tabs>
        <w:ind w:left="2517" w:hanging="180"/>
      </w:pPr>
      <w:rPr/>
    </w:lvl>
    <w:lvl w:ilvl="3">
      <w:start w:val="1"/>
      <w:numFmt w:val="decimal"/>
      <w:lvlText w:val="%4."/>
      <w:lvlJc w:val="left"/>
      <w:pPr>
        <w:tabs>
          <w:tab w:val="num" w:pos="0"/>
        </w:tabs>
        <w:ind w:left="3237" w:hanging="360"/>
      </w:pPr>
      <w:rPr/>
    </w:lvl>
    <w:lvl w:ilvl="4">
      <w:start w:val="1"/>
      <w:numFmt w:val="lowerLetter"/>
      <w:lvlText w:val="%5."/>
      <w:lvlJc w:val="left"/>
      <w:pPr>
        <w:tabs>
          <w:tab w:val="num" w:pos="0"/>
        </w:tabs>
        <w:ind w:left="3957" w:hanging="360"/>
      </w:pPr>
      <w:rPr/>
    </w:lvl>
    <w:lvl w:ilvl="5">
      <w:start w:val="1"/>
      <w:numFmt w:val="lowerRoman"/>
      <w:lvlText w:val="%6."/>
      <w:lvlJc w:val="right"/>
      <w:pPr>
        <w:tabs>
          <w:tab w:val="num" w:pos="0"/>
        </w:tabs>
        <w:ind w:left="4677" w:hanging="180"/>
      </w:pPr>
      <w:rPr/>
    </w:lvl>
    <w:lvl w:ilvl="6">
      <w:start w:val="1"/>
      <w:numFmt w:val="decimal"/>
      <w:lvlText w:val="%7."/>
      <w:lvlJc w:val="left"/>
      <w:pPr>
        <w:tabs>
          <w:tab w:val="num" w:pos="0"/>
        </w:tabs>
        <w:ind w:left="5397" w:hanging="360"/>
      </w:pPr>
      <w:rPr/>
    </w:lvl>
    <w:lvl w:ilvl="7">
      <w:start w:val="1"/>
      <w:numFmt w:val="lowerLetter"/>
      <w:lvlText w:val="%8."/>
      <w:lvlJc w:val="left"/>
      <w:pPr>
        <w:tabs>
          <w:tab w:val="num" w:pos="0"/>
        </w:tabs>
        <w:ind w:left="6117" w:hanging="360"/>
      </w:pPr>
      <w:rPr/>
    </w:lvl>
    <w:lvl w:ilvl="8">
      <w:start w:val="1"/>
      <w:numFmt w:val="lowerRoman"/>
      <w:lvlText w:val="%9."/>
      <w:lvlJc w:val="right"/>
      <w:pPr>
        <w:tabs>
          <w:tab w:val="num" w:pos="0"/>
        </w:tabs>
        <w:ind w:left="6837" w:hanging="180"/>
      </w:pPr>
      <w:rPr/>
    </w:lvl>
  </w:abstractNum>
  <w:abstractNum w:abstractNumId="31">
    <w:lvl w:ilvl="0">
      <w:start w:val="1"/>
      <w:numFmt w:val="lowerLetter"/>
      <w:lvlText w:val="%1)"/>
      <w:lvlJc w:val="left"/>
      <w:pPr>
        <w:tabs>
          <w:tab w:val="num" w:pos="0"/>
        </w:tabs>
        <w:ind w:left="700" w:hanging="360"/>
      </w:pPr>
      <w:rPr/>
    </w:lvl>
    <w:lvl w:ilvl="1">
      <w:start w:val="1"/>
      <w:numFmt w:val="lowerLetter"/>
      <w:lvlText w:val="%2."/>
      <w:lvlJc w:val="left"/>
      <w:pPr>
        <w:tabs>
          <w:tab w:val="num" w:pos="0"/>
        </w:tabs>
        <w:ind w:left="1420" w:hanging="360"/>
      </w:pPr>
      <w:rPr/>
    </w:lvl>
    <w:lvl w:ilvl="2">
      <w:start w:val="1"/>
      <w:numFmt w:val="lowerRoman"/>
      <w:lvlText w:val="%3."/>
      <w:lvlJc w:val="right"/>
      <w:pPr>
        <w:tabs>
          <w:tab w:val="num" w:pos="0"/>
        </w:tabs>
        <w:ind w:left="2140" w:hanging="180"/>
      </w:pPr>
      <w:rPr/>
    </w:lvl>
    <w:lvl w:ilvl="3">
      <w:start w:val="1"/>
      <w:numFmt w:val="decimal"/>
      <w:lvlText w:val="%4."/>
      <w:lvlJc w:val="left"/>
      <w:pPr>
        <w:tabs>
          <w:tab w:val="num" w:pos="0"/>
        </w:tabs>
        <w:ind w:left="2860" w:hanging="360"/>
      </w:pPr>
      <w:rPr/>
    </w:lvl>
    <w:lvl w:ilvl="4">
      <w:start w:val="1"/>
      <w:numFmt w:val="lowerLetter"/>
      <w:lvlText w:val="%5."/>
      <w:lvlJc w:val="left"/>
      <w:pPr>
        <w:tabs>
          <w:tab w:val="num" w:pos="0"/>
        </w:tabs>
        <w:ind w:left="3580" w:hanging="360"/>
      </w:pPr>
      <w:rPr/>
    </w:lvl>
    <w:lvl w:ilvl="5">
      <w:start w:val="1"/>
      <w:numFmt w:val="lowerRoman"/>
      <w:lvlText w:val="%6."/>
      <w:lvlJc w:val="right"/>
      <w:pPr>
        <w:tabs>
          <w:tab w:val="num" w:pos="0"/>
        </w:tabs>
        <w:ind w:left="4300" w:hanging="180"/>
      </w:pPr>
      <w:rPr/>
    </w:lvl>
    <w:lvl w:ilvl="6">
      <w:start w:val="1"/>
      <w:numFmt w:val="decimal"/>
      <w:lvlText w:val="%7."/>
      <w:lvlJc w:val="left"/>
      <w:pPr>
        <w:tabs>
          <w:tab w:val="num" w:pos="0"/>
        </w:tabs>
        <w:ind w:left="5020" w:hanging="360"/>
      </w:pPr>
      <w:rPr/>
    </w:lvl>
    <w:lvl w:ilvl="7">
      <w:start w:val="1"/>
      <w:numFmt w:val="lowerLetter"/>
      <w:lvlText w:val="%8."/>
      <w:lvlJc w:val="left"/>
      <w:pPr>
        <w:tabs>
          <w:tab w:val="num" w:pos="0"/>
        </w:tabs>
        <w:ind w:left="5740" w:hanging="360"/>
      </w:pPr>
      <w:rPr/>
    </w:lvl>
    <w:lvl w:ilvl="8">
      <w:start w:val="1"/>
      <w:numFmt w:val="lowerRoman"/>
      <w:lvlText w:val="%9."/>
      <w:lvlJc w:val="right"/>
      <w:pPr>
        <w:tabs>
          <w:tab w:val="num" w:pos="0"/>
        </w:tabs>
        <w:ind w:left="6460" w:hanging="180"/>
      </w:pPr>
      <w:rPr/>
    </w:lvl>
  </w:abstractNum>
  <w:abstractNum w:abstractNumId="32">
    <w:lvl w:ilvl="0">
      <w:start w:val="1"/>
      <w:numFmt w:val="decimal"/>
      <w:lvlText w:val="%1."/>
      <w:lvlJc w:val="left"/>
      <w:pPr>
        <w:tabs>
          <w:tab w:val="num" w:pos="360"/>
        </w:tabs>
        <w:ind w:left="340" w:hanging="34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100"/>
  <w:embedSystemFonts/>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Heading1">
    <w:name w:val="heading 1"/>
    <w:basedOn w:val="Normal"/>
    <w:next w:val="Normal"/>
    <w:qFormat/>
    <w:pPr>
      <w:keepNext w:val="true"/>
      <w:tabs>
        <w:tab w:val="clear" w:pos="709"/>
        <w:tab w:val="left" w:pos="7371" w:leader="none"/>
      </w:tabs>
      <w:jc w:val="center"/>
      <w:outlineLvl w:val="0"/>
    </w:pPr>
    <w:rPr>
      <w:b/>
      <w:bCs/>
      <w:sz w:val="28"/>
    </w:rPr>
  </w:style>
  <w:style w:type="paragraph" w:styleId="Heading2">
    <w:name w:val="heading 2"/>
    <w:basedOn w:val="Normal"/>
    <w:next w:val="Normal"/>
    <w:qFormat/>
    <w:pPr>
      <w:keepNext w:val="true"/>
      <w:tabs>
        <w:tab w:val="clear" w:pos="709"/>
        <w:tab w:val="left" w:pos="540" w:leader="none"/>
        <w:tab w:val="left" w:pos="1260" w:leader="none"/>
        <w:tab w:val="left" w:pos="1980" w:leader="none"/>
        <w:tab w:val="left" w:pos="3960" w:leader="none"/>
      </w:tabs>
      <w:jc w:val="center"/>
      <w:outlineLvl w:val="1"/>
    </w:pPr>
    <w:rPr>
      <w:b/>
      <w:bCs/>
    </w:rPr>
  </w:style>
  <w:style w:type="paragraph" w:styleId="Heading3">
    <w:name w:val="heading 3"/>
    <w:basedOn w:val="Normal"/>
    <w:next w:val="Normal"/>
    <w:qFormat/>
    <w:pPr>
      <w:keepNext w:val="true"/>
      <w:jc w:val="both"/>
      <w:outlineLvl w:val="2"/>
    </w:pPr>
    <w:rPr>
      <w:b/>
      <w:szCs w:val="20"/>
      <w:u w:val="single"/>
    </w:rPr>
  </w:style>
  <w:style w:type="paragraph" w:styleId="Heading4">
    <w:name w:val="heading 4"/>
    <w:basedOn w:val="Normal"/>
    <w:next w:val="Normal"/>
    <w:qFormat/>
    <w:pPr>
      <w:keepNext w:val="true"/>
      <w:tabs>
        <w:tab w:val="clear" w:pos="709"/>
        <w:tab w:val="left" w:pos="567" w:leader="none"/>
        <w:tab w:val="left" w:pos="1701" w:leader="none"/>
      </w:tabs>
      <w:spacing w:before="0" w:after="60"/>
      <w:ind w:firstLine="360"/>
      <w:outlineLvl w:val="3"/>
    </w:pPr>
    <w:rPr>
      <w:i/>
      <w:iCs/>
    </w:rPr>
  </w:style>
  <w:style w:type="paragraph" w:styleId="Heading5">
    <w:name w:val="heading 5"/>
    <w:basedOn w:val="Normal"/>
    <w:next w:val="Normal"/>
    <w:qFormat/>
    <w:pPr>
      <w:keepNext w:val="true"/>
      <w:widowControl w:val="false"/>
      <w:spacing w:before="120" w:after="0"/>
      <w:outlineLvl w:val="4"/>
    </w:pPr>
    <w:rPr/>
  </w:style>
  <w:style w:type="paragraph" w:styleId="Heading6">
    <w:name w:val="heading 6"/>
    <w:basedOn w:val="Normal"/>
    <w:next w:val="Normal"/>
    <w:qFormat/>
    <w:pPr>
      <w:keepNext w:val="true"/>
      <w:outlineLvl w:val="5"/>
    </w:pPr>
    <w:rPr>
      <w:i/>
      <w:iCs/>
      <w:color w:val="FF0000"/>
    </w:rPr>
  </w:style>
  <w:style w:type="paragraph" w:styleId="Heading8">
    <w:name w:val="heading 8"/>
    <w:basedOn w:val="Normal"/>
    <w:next w:val="Normal"/>
    <w:qFormat/>
    <w:pPr>
      <w:keepNext w:val="true"/>
      <w:tabs>
        <w:tab w:val="clear" w:pos="709"/>
        <w:tab w:val="left" w:pos="567" w:leader="none"/>
        <w:tab w:val="left" w:pos="1701" w:leader="none"/>
      </w:tabs>
      <w:outlineLvl w:val="7"/>
    </w:pPr>
    <w:rPr>
      <w:i/>
      <w:iCs/>
      <w:sz w:val="28"/>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Emphasis">
    <w:name w:val="Emphasis"/>
    <w:qFormat/>
    <w:rPr>
      <w:i/>
      <w:iCs/>
    </w:rPr>
  </w:style>
  <w:style w:type="character" w:styleId="Strong">
    <w:name w:val="Strong"/>
    <w:qFormat/>
    <w:rsid w:val="00f76baf"/>
    <w:rPr>
      <w:b/>
      <w:bCs/>
    </w:rPr>
  </w:style>
  <w:style w:type="character" w:styleId="ZkladntextChar" w:customStyle="1">
    <w:name w:val="Základní text Char"/>
    <w:qFormat/>
    <w:rsid w:val="00655a98"/>
    <w:rPr>
      <w:sz w:val="24"/>
      <w:szCs w:val="24"/>
      <w:lang w:val="cs-CZ" w:eastAsia="cs-CZ" w:bidi="ar-SA"/>
    </w:rPr>
  </w:style>
  <w:style w:type="character" w:styleId="CommentReference">
    <w:name w:val="annotation reference"/>
    <w:uiPriority w:val="99"/>
    <w:semiHidden/>
    <w:unhideWhenUsed/>
    <w:qFormat/>
    <w:rsid w:val="0017385a"/>
    <w:rPr>
      <w:sz w:val="16"/>
      <w:szCs w:val="16"/>
    </w:rPr>
  </w:style>
  <w:style w:type="character" w:styleId="TextkomenteChar" w:customStyle="1">
    <w:name w:val="Text komentáře Char"/>
    <w:basedOn w:val="DefaultParagraphFont"/>
    <w:uiPriority w:val="99"/>
    <w:semiHidden/>
    <w:qFormat/>
    <w:rsid w:val="0017385a"/>
    <w:rPr/>
  </w:style>
  <w:style w:type="character" w:styleId="PedmtkomenteChar" w:customStyle="1">
    <w:name w:val="Předmět komentáře Char"/>
    <w:link w:val="annotationsubject"/>
    <w:uiPriority w:val="99"/>
    <w:semiHidden/>
    <w:qFormat/>
    <w:rsid w:val="0017385a"/>
    <w:rPr>
      <w:b/>
      <w:bCs/>
    </w:rPr>
  </w:style>
  <w:style w:type="character" w:styleId="ZhlavChar" w:customStyle="1">
    <w:name w:val="Záhlaví Char"/>
    <w:qFormat/>
    <w:rsid w:val="004c3a76"/>
    <w:rPr>
      <w:sz w:val="24"/>
      <w:szCs w:val="24"/>
    </w:rPr>
  </w:style>
  <w:style w:type="character" w:styleId="normaltextrun" w:customStyle="1">
    <w:name w:val="normaltextrun"/>
    <w:basedOn w:val="DefaultParagraphFont"/>
    <w:qFormat/>
    <w:rsid w:val="005e08a5"/>
    <w:rPr/>
  </w:style>
  <w:style w:type="character" w:styleId="tabchar" w:customStyle="1">
    <w:name w:val="tabchar"/>
    <w:basedOn w:val="DefaultParagraphFont"/>
    <w:qFormat/>
    <w:rsid w:val="005e08a5"/>
    <w:rPr/>
  </w:style>
  <w:style w:type="character" w:styleId="eop" w:customStyle="1">
    <w:name w:val="eop"/>
    <w:basedOn w:val="DefaultParagraphFont"/>
    <w:qFormat/>
    <w:rsid w:val="005e08a5"/>
    <w:rPr/>
  </w:style>
  <w:style w:type="character" w:styleId="contextualspellingandgrammarerror" w:customStyle="1">
    <w:name w:val="contextualspellingandgrammarerror"/>
    <w:basedOn w:val="DefaultParagraphFont"/>
    <w:qFormat/>
    <w:rsid w:val="00ee3a16"/>
    <w:rPr/>
  </w:style>
  <w:style w:type="character" w:styleId="UnresolvedMention">
    <w:name w:val="Unresolved Mention"/>
    <w:basedOn w:val="DefaultParagraphFont"/>
    <w:uiPriority w:val="99"/>
    <w:semiHidden/>
    <w:unhideWhenUsed/>
    <w:qFormat/>
    <w:rsid w:val="004d35d7"/>
    <w:rPr>
      <w:color w:val="605E5C"/>
      <w:shd w:fill="E1DFDD" w:val="clear"/>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ZkladntextChar"/>
    <w:pPr>
      <w:tabs>
        <w:tab w:val="clear" w:pos="709"/>
        <w:tab w:val="left" w:pos="540" w:leader="none"/>
        <w:tab w:val="left" w:pos="1260" w:leader="none"/>
        <w:tab w:val="left" w:pos="1980" w:leader="none"/>
        <w:tab w:val="left" w:pos="3960" w:leader="none"/>
      </w:tabs>
      <w:jc w:val="both"/>
    </w:pPr>
    <w:rPr/>
  </w:style>
  <w:style w:type="paragraph" w:styleId="List">
    <w:name w:val="List"/>
    <w:basedOn w:val="BodyText"/>
    <w:pPr/>
    <w:rPr>
      <w:rFonts w:ascii="Verdana" w:hAnsi="Verdana" w:cs="Lucida Sans"/>
    </w:rPr>
  </w:style>
  <w:style w:type="paragraph" w:styleId="Caption">
    <w:name w:val="caption"/>
    <w:basedOn w:val="Normal"/>
    <w:qFormat/>
    <w:pPr>
      <w:suppressLineNumbers/>
      <w:spacing w:before="120" w:after="120"/>
    </w:pPr>
    <w:rPr>
      <w:rFonts w:ascii="Verdana" w:hAnsi="Verdana" w:cs="Lucida Sans"/>
      <w:i/>
      <w:iCs/>
      <w:sz w:val="24"/>
      <w:szCs w:val="24"/>
    </w:rPr>
  </w:style>
  <w:style w:type="paragraph" w:styleId="Rejstk">
    <w:name w:val="Rejstřík"/>
    <w:basedOn w:val="Normal"/>
    <w:qFormat/>
    <w:pPr>
      <w:suppressLineNumbers/>
    </w:pPr>
    <w:rPr>
      <w:rFonts w:cs="Lucida Sans"/>
    </w:rPr>
  </w:style>
  <w:style w:type="paragraph" w:styleId="Nadpisuser">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name w:val="Rejstřík (user)"/>
    <w:basedOn w:val="Normal"/>
    <w:qFormat/>
    <w:pPr>
      <w:suppressLineNumbers/>
    </w:pPr>
    <w:rPr>
      <w:rFonts w:ascii="Verdana" w:hAnsi="Verdana" w:cs="Lucida Sans"/>
    </w:rPr>
  </w:style>
  <w:style w:type="paragraph" w:styleId="Import16" w:customStyle="1">
    <w:name w:val="Import 16"/>
    <w:basedOn w:val="Normal"/>
    <w:qFormat/>
    <w:pPr>
      <w:widowControl w:val="false"/>
      <w:tabs>
        <w:tab w:val="clear" w:pos="709"/>
        <w:tab w:val="left" w:pos="864" w:leader="none"/>
      </w:tabs>
      <w:ind w:hanging="144"/>
    </w:pPr>
    <w:rPr>
      <w:rFonts w:ascii="Courier New" w:hAnsi="Courier New" w:cs="Courier New"/>
    </w:rPr>
  </w:style>
  <w:style w:type="paragraph" w:styleId="BodyTextIndent2">
    <w:name w:val="Body Text Indent 2"/>
    <w:basedOn w:val="Normal"/>
    <w:qFormat/>
    <w:pPr>
      <w:widowControl w:val="false"/>
      <w:ind w:hanging="567" w:left="567"/>
      <w:jc w:val="both"/>
    </w:pPr>
    <w:rPr/>
  </w:style>
  <w:style w:type="paragraph" w:styleId="Import5" w:customStyle="1">
    <w:name w:val="Import 5"/>
    <w:basedOn w:val="Normal"/>
    <w:qFormat/>
    <w:pPr>
      <w:widowControl w:val="false"/>
      <w:tabs>
        <w:tab w:val="clear" w:pos="709"/>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 w:val="left" w:pos="10224" w:leader="none"/>
        <w:tab w:val="left" w:pos="11088" w:leader="none"/>
        <w:tab w:val="left" w:pos="11952" w:leader="none"/>
        <w:tab w:val="left" w:pos="12816" w:leader="none"/>
        <w:tab w:val="left" w:pos="13680" w:leader="none"/>
        <w:tab w:val="left" w:pos="14544" w:leader="none"/>
        <w:tab w:val="left" w:pos="15408" w:leader="none"/>
        <w:tab w:val="left" w:pos="16272" w:leader="none"/>
        <w:tab w:val="left" w:pos="17136" w:leader="none"/>
        <w:tab w:val="left" w:pos="18000" w:leader="none"/>
        <w:tab w:val="left" w:pos="18864" w:leader="none"/>
      </w:tabs>
      <w:ind w:hanging="288"/>
    </w:pPr>
    <w:rPr>
      <w:rFonts w:ascii="Courier New" w:hAnsi="Courier New" w:cs="Courier New"/>
    </w:rPr>
  </w:style>
  <w:style w:type="paragraph" w:styleId="Import3" w:customStyle="1">
    <w:name w:val="Import 3"/>
    <w:basedOn w:val="Normal"/>
    <w:qFormat/>
    <w:pPr>
      <w:widowControl w:val="false"/>
      <w:tabs>
        <w:tab w:val="clear" w:pos="709"/>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 w:val="left" w:pos="10224" w:leader="none"/>
        <w:tab w:val="left" w:pos="11088" w:leader="none"/>
        <w:tab w:val="left" w:pos="11952" w:leader="none"/>
        <w:tab w:val="left" w:pos="12816" w:leader="none"/>
        <w:tab w:val="left" w:pos="13680" w:leader="none"/>
        <w:tab w:val="left" w:pos="14544" w:leader="none"/>
        <w:tab w:val="left" w:pos="15408" w:leader="none"/>
        <w:tab w:val="left" w:pos="16272" w:leader="none"/>
        <w:tab w:val="left" w:pos="17136" w:leader="none"/>
        <w:tab w:val="left" w:pos="18000" w:leader="none"/>
        <w:tab w:val="left" w:pos="18864" w:leader="none"/>
      </w:tabs>
    </w:pPr>
    <w:rPr>
      <w:rFonts w:ascii="Courier New" w:hAnsi="Courier New" w:cs="Courier New"/>
    </w:rPr>
  </w:style>
  <w:style w:type="paragraph" w:styleId="BodyText3">
    <w:name w:val="Body Text 3"/>
    <w:basedOn w:val="Normal"/>
    <w:qFormat/>
    <w:pPr>
      <w:spacing w:lineRule="exact" w:line="240"/>
      <w:jc w:val="both"/>
    </w:pPr>
    <w:rPr>
      <w:szCs w:val="20"/>
    </w:rPr>
  </w:style>
  <w:style w:type="paragraph" w:styleId="Smlouva-eslo" w:customStyle="1">
    <w:name w:val="Smlouva-eíslo"/>
    <w:basedOn w:val="Normal"/>
    <w:qFormat/>
    <w:pPr>
      <w:widowControl w:val="false"/>
      <w:spacing w:lineRule="atLeast" w:line="240" w:before="120" w:after="0"/>
      <w:jc w:val="both"/>
    </w:pPr>
    <w:rPr>
      <w:szCs w:val="20"/>
    </w:rPr>
  </w:style>
  <w:style w:type="paragraph" w:styleId="Smlouva2" w:customStyle="1">
    <w:name w:val="Smlouva2"/>
    <w:basedOn w:val="Normal"/>
    <w:qFormat/>
    <w:pPr>
      <w:widowControl w:val="false"/>
      <w:jc w:val="center"/>
    </w:pPr>
    <w:rPr>
      <w:b/>
      <w:szCs w:val="20"/>
    </w:rPr>
  </w:style>
  <w:style w:type="paragraph" w:styleId="Zhlavazpatuser">
    <w:name w:val="Záhlaví a zápatí (user)"/>
    <w:basedOn w:val="Normal"/>
    <w:qFormat/>
    <w:pPr/>
    <w:rPr/>
  </w:style>
  <w:style w:type="paragraph" w:styleId="Zhlavazpat">
    <w:name w:val="Záhlaví a zápatí"/>
    <w:basedOn w:val="Normal"/>
    <w:qFormat/>
    <w:pPr/>
    <w:rPr/>
  </w:style>
  <w:style w:type="paragraph" w:styleId="Footer">
    <w:name w:val="footer"/>
    <w:basedOn w:val="Normal"/>
    <w:pPr>
      <w:tabs>
        <w:tab w:val="clear" w:pos="709"/>
        <w:tab w:val="center" w:pos="4536" w:leader="none"/>
        <w:tab w:val="right" w:pos="9072" w:leader="none"/>
      </w:tabs>
    </w:pPr>
    <w:rPr/>
  </w:style>
  <w:style w:type="paragraph" w:styleId="BodyTextIndent">
    <w:name w:val="Body Text Indent"/>
    <w:basedOn w:val="Normal"/>
    <w:pPr>
      <w:tabs>
        <w:tab w:val="clear" w:pos="709"/>
        <w:tab w:val="left" w:pos="357" w:leader="none"/>
        <w:tab w:val="left" w:pos="540" w:leader="none"/>
        <w:tab w:val="left" w:pos="1980" w:leader="none"/>
        <w:tab w:val="left" w:pos="7380" w:leader="none"/>
      </w:tabs>
      <w:ind w:hanging="540" w:left="540"/>
      <w:jc w:val="both"/>
    </w:pPr>
    <w:rPr/>
  </w:style>
  <w:style w:type="paragraph" w:styleId="Header">
    <w:name w:val="header"/>
    <w:basedOn w:val="Normal"/>
    <w:link w:val="ZhlavChar"/>
    <w:pPr>
      <w:tabs>
        <w:tab w:val="clear" w:pos="709"/>
        <w:tab w:val="center" w:pos="4536" w:leader="none"/>
        <w:tab w:val="right" w:pos="9072" w:leader="none"/>
      </w:tabs>
    </w:pPr>
    <w:rPr/>
  </w:style>
  <w:style w:type="paragraph" w:styleId="BodyTextIndent3">
    <w:name w:val="Body Text Indent 3"/>
    <w:basedOn w:val="Normal"/>
    <w:qFormat/>
    <w:pPr>
      <w:tabs>
        <w:tab w:val="clear" w:pos="709"/>
        <w:tab w:val="left" w:pos="426" w:leader="none"/>
      </w:tabs>
      <w:ind w:left="357"/>
      <w:jc w:val="both"/>
    </w:pPr>
    <w:rPr>
      <w:i/>
      <w:iCs/>
    </w:rPr>
  </w:style>
  <w:style w:type="paragraph" w:styleId="BodyText2">
    <w:name w:val="Body Text 2"/>
    <w:basedOn w:val="Normal"/>
    <w:qFormat/>
    <w:pPr>
      <w:tabs>
        <w:tab w:val="clear" w:pos="709"/>
        <w:tab w:val="left" w:pos="567" w:leader="none"/>
        <w:tab w:val="left" w:pos="1701" w:leader="none"/>
      </w:tabs>
      <w:spacing w:before="0" w:after="120"/>
    </w:pPr>
    <w:rPr>
      <w:sz w:val="20"/>
    </w:rPr>
  </w:style>
  <w:style w:type="paragraph" w:styleId="Smlouva-slo" w:customStyle="1">
    <w:name w:val="Smlouva-èíslo"/>
    <w:basedOn w:val="Normal"/>
    <w:qFormat/>
    <w:pPr>
      <w:spacing w:lineRule="atLeast" w:line="240" w:before="120" w:after="0"/>
      <w:jc w:val="both"/>
    </w:pPr>
    <w:rPr>
      <w:szCs w:val="20"/>
    </w:rPr>
  </w:style>
  <w:style w:type="paragraph" w:styleId="Title">
    <w:name w:val="Title"/>
    <w:basedOn w:val="Normal"/>
    <w:qFormat/>
    <w:pPr>
      <w:widowControl w:val="false"/>
      <w:jc w:val="center"/>
    </w:pPr>
    <w:rPr>
      <w:b/>
      <w:bCs/>
      <w:sz w:val="32"/>
      <w:szCs w:val="20"/>
    </w:rPr>
  </w:style>
  <w:style w:type="paragraph" w:styleId="Smlouva-slo1" w:customStyle="1">
    <w:name w:val="Smlouva-číslo"/>
    <w:basedOn w:val="Normal"/>
    <w:qFormat/>
    <w:pPr>
      <w:widowControl w:val="false"/>
      <w:spacing w:lineRule="atLeast" w:line="240" w:before="120" w:after="0"/>
      <w:jc w:val="both"/>
    </w:pPr>
    <w:rPr>
      <w:szCs w:val="20"/>
    </w:rPr>
  </w:style>
  <w:style w:type="paragraph" w:styleId="slovnvSOD" w:customStyle="1">
    <w:name w:val="číslování v SOD"/>
    <w:basedOn w:val="BodyText"/>
    <w:qFormat/>
    <w:pPr>
      <w:widowControl w:val="false"/>
      <w:numPr>
        <w:ilvl w:val="0"/>
        <w:numId w:val="6"/>
      </w:numPr>
      <w:tabs>
        <w:tab w:val="clear" w:pos="540"/>
        <w:tab w:val="clear" w:pos="1260"/>
        <w:tab w:val="clear" w:pos="1980"/>
        <w:tab w:val="clear" w:pos="3960"/>
      </w:tabs>
      <w:spacing w:before="0" w:after="120"/>
    </w:pPr>
    <w:rPr>
      <w:rFonts w:ascii="Arial" w:hAnsi="Arial"/>
      <w:sz w:val="22"/>
      <w:szCs w:val="20"/>
    </w:rPr>
  </w:style>
  <w:style w:type="paragraph" w:styleId="Smlouva3" w:customStyle="1">
    <w:name w:val="Smlouva3"/>
    <w:basedOn w:val="Normal"/>
    <w:qFormat/>
    <w:pPr>
      <w:widowControl w:val="false"/>
      <w:spacing w:before="120" w:after="0"/>
      <w:jc w:val="both"/>
    </w:pPr>
    <w:rPr>
      <w:szCs w:val="20"/>
    </w:rPr>
  </w:style>
  <w:style w:type="paragraph" w:styleId="xl24" w:customStyle="1">
    <w:name w:val="xl24"/>
    <w:basedOn w:val="Normal"/>
    <w:qFormat/>
    <w:pPr>
      <w:pBdr>
        <w:top w:val="single" w:sz="8" w:space="0" w:color="000000"/>
        <w:right w:val="single" w:sz="4" w:space="0" w:color="000000"/>
      </w:pBdr>
      <w:spacing w:beforeAutospacing="1" w:afterAutospacing="1"/>
      <w:jc w:val="center"/>
      <w:textAlignment w:val="center"/>
    </w:pPr>
    <w:rPr>
      <w:b/>
      <w:bCs/>
    </w:rPr>
  </w:style>
  <w:style w:type="paragraph" w:styleId="xl25" w:customStyle="1">
    <w:name w:val="xl25"/>
    <w:basedOn w:val="Normal"/>
    <w:qFormat/>
    <w:pPr>
      <w:pBdr>
        <w:top w:val="single" w:sz="8" w:space="0" w:color="000000"/>
        <w:left w:val="single" w:sz="4" w:space="0" w:color="000000"/>
        <w:right w:val="single" w:sz="4" w:space="0" w:color="000000"/>
      </w:pBdr>
      <w:spacing w:beforeAutospacing="1" w:afterAutospacing="1"/>
      <w:jc w:val="center"/>
      <w:textAlignment w:val="center"/>
    </w:pPr>
    <w:rPr>
      <w:b/>
      <w:bCs/>
    </w:rPr>
  </w:style>
  <w:style w:type="paragraph" w:styleId="xl26" w:customStyle="1">
    <w:name w:val="xl26"/>
    <w:basedOn w:val="Normal"/>
    <w:qFormat/>
    <w:pPr>
      <w:pBdr>
        <w:top w:val="single" w:sz="8" w:space="0" w:color="000000"/>
        <w:left w:val="single" w:sz="4" w:space="0" w:color="000000"/>
        <w:right w:val="single" w:sz="8" w:space="0" w:color="000000"/>
      </w:pBdr>
      <w:spacing w:beforeAutospacing="1" w:afterAutospacing="1"/>
      <w:jc w:val="center"/>
      <w:textAlignment w:val="center"/>
    </w:pPr>
    <w:rPr>
      <w:b/>
      <w:bCs/>
    </w:rPr>
  </w:style>
  <w:style w:type="paragraph" w:styleId="xl27" w:customStyle="1">
    <w:name w:val="xl27"/>
    <w:basedOn w:val="Normal"/>
    <w:qFormat/>
    <w:pPr>
      <w:pBdr>
        <w:left w:val="single" w:sz="8" w:space="0" w:color="000000"/>
        <w:bottom w:val="single" w:sz="8" w:space="0" w:color="000000"/>
      </w:pBdr>
      <w:spacing w:beforeAutospacing="1" w:afterAutospacing="1"/>
      <w:jc w:val="center"/>
      <w:textAlignment w:val="center"/>
    </w:pPr>
    <w:rPr>
      <w:b/>
      <w:bCs/>
    </w:rPr>
  </w:style>
  <w:style w:type="paragraph" w:styleId="xl28" w:customStyle="1">
    <w:name w:val="xl28"/>
    <w:basedOn w:val="Normal"/>
    <w:qFormat/>
    <w:pPr>
      <w:pBdr>
        <w:bottom w:val="single" w:sz="8" w:space="0" w:color="000000"/>
        <w:right w:val="single" w:sz="4" w:space="0" w:color="000000"/>
      </w:pBdr>
      <w:spacing w:beforeAutospacing="1" w:afterAutospacing="1"/>
      <w:jc w:val="center"/>
      <w:textAlignment w:val="center"/>
    </w:pPr>
    <w:rPr>
      <w:b/>
      <w:bCs/>
    </w:rPr>
  </w:style>
  <w:style w:type="paragraph" w:styleId="xl29" w:customStyle="1">
    <w:name w:val="xl29"/>
    <w:basedOn w:val="Normal"/>
    <w:qFormat/>
    <w:pPr>
      <w:pBdr>
        <w:left w:val="single" w:sz="4" w:space="0" w:color="000000"/>
        <w:bottom w:val="single" w:sz="8" w:space="0" w:color="000000"/>
        <w:right w:val="single" w:sz="4" w:space="0" w:color="000000"/>
      </w:pBdr>
      <w:spacing w:beforeAutospacing="1" w:afterAutospacing="1"/>
      <w:jc w:val="center"/>
      <w:textAlignment w:val="center"/>
    </w:pPr>
    <w:rPr>
      <w:b/>
      <w:bCs/>
    </w:rPr>
  </w:style>
  <w:style w:type="paragraph" w:styleId="xl30" w:customStyle="1">
    <w:name w:val="xl30"/>
    <w:basedOn w:val="Normal"/>
    <w:qFormat/>
    <w:pPr>
      <w:pBdr>
        <w:left w:val="single" w:sz="4" w:space="0" w:color="000000"/>
        <w:bottom w:val="single" w:sz="8" w:space="0" w:color="000000"/>
        <w:right w:val="single" w:sz="8" w:space="0" w:color="000000"/>
      </w:pBdr>
      <w:spacing w:beforeAutospacing="1" w:afterAutospacing="1"/>
      <w:jc w:val="center"/>
      <w:textAlignment w:val="center"/>
    </w:pPr>
    <w:rPr>
      <w:b/>
      <w:bCs/>
    </w:rPr>
  </w:style>
  <w:style w:type="paragraph" w:styleId="xl31" w:customStyle="1">
    <w:name w:val="xl31"/>
    <w:basedOn w:val="Normal"/>
    <w:qFormat/>
    <w:pPr>
      <w:pBdr>
        <w:top w:val="single" w:sz="8" w:space="0" w:color="000000"/>
        <w:left w:val="single" w:sz="8" w:space="0" w:color="000000"/>
        <w:right w:val="single" w:sz="4" w:space="0" w:color="000000"/>
      </w:pBdr>
      <w:spacing w:beforeAutospacing="1" w:afterAutospacing="1"/>
      <w:jc w:val="center"/>
      <w:textAlignment w:val="center"/>
    </w:pPr>
    <w:rPr>
      <w:sz w:val="22"/>
      <w:szCs w:val="22"/>
    </w:rPr>
  </w:style>
  <w:style w:type="paragraph" w:styleId="xl32" w:customStyle="1">
    <w:name w:val="xl32"/>
    <w:basedOn w:val="Normal"/>
    <w:qFormat/>
    <w:pPr>
      <w:pBdr>
        <w:top w:val="single" w:sz="8" w:space="0" w:color="000000"/>
        <w:left w:val="single" w:sz="4" w:space="0" w:color="000000"/>
        <w:right w:val="single" w:sz="4" w:space="0" w:color="000000"/>
      </w:pBdr>
      <w:spacing w:beforeAutospacing="1" w:afterAutospacing="1"/>
      <w:textAlignment w:val="center"/>
    </w:pPr>
    <w:rPr>
      <w:sz w:val="22"/>
      <w:szCs w:val="22"/>
    </w:rPr>
  </w:style>
  <w:style w:type="paragraph" w:styleId="xl33" w:customStyle="1">
    <w:name w:val="xl33"/>
    <w:basedOn w:val="Normal"/>
    <w:qFormat/>
    <w:pPr>
      <w:pBdr>
        <w:top w:val="single" w:sz="8" w:space="0" w:color="000000"/>
        <w:bottom w:val="single" w:sz="4" w:space="0" w:color="000000"/>
        <w:right w:val="single" w:sz="4" w:space="0" w:color="000000"/>
      </w:pBdr>
      <w:spacing w:beforeAutospacing="1" w:afterAutospacing="1"/>
      <w:jc w:val="center"/>
      <w:textAlignment w:val="center"/>
    </w:pPr>
    <w:rPr>
      <w:sz w:val="22"/>
      <w:szCs w:val="22"/>
    </w:rPr>
  </w:style>
  <w:style w:type="paragraph" w:styleId="xl34" w:customStyle="1">
    <w:name w:val="xl34"/>
    <w:basedOn w:val="Normal"/>
    <w:qFormat/>
    <w:pPr>
      <w:pBdr>
        <w:top w:val="single" w:sz="8" w:space="0" w:color="000000"/>
        <w:bottom w:val="single" w:sz="4" w:space="0" w:color="000000"/>
        <w:right w:val="single" w:sz="4" w:space="0" w:color="000000"/>
      </w:pBdr>
      <w:spacing w:beforeAutospacing="1" w:afterAutospacing="1"/>
      <w:jc w:val="right"/>
      <w:textAlignment w:val="center"/>
    </w:pPr>
    <w:rPr>
      <w:sz w:val="22"/>
      <w:szCs w:val="22"/>
    </w:rPr>
  </w:style>
  <w:style w:type="paragraph" w:styleId="xl35" w:customStyle="1">
    <w:name w:val="xl35"/>
    <w:basedOn w:val="Normal"/>
    <w:qFormat/>
    <w:pPr>
      <w:pBdr>
        <w:top w:val="single" w:sz="8" w:space="0" w:color="000000"/>
        <w:bottom w:val="single" w:sz="4" w:space="0" w:color="000000"/>
        <w:right w:val="single" w:sz="8" w:space="0" w:color="000000"/>
      </w:pBdr>
      <w:spacing w:beforeAutospacing="1" w:afterAutospacing="1"/>
      <w:jc w:val="right"/>
      <w:textAlignment w:val="center"/>
    </w:pPr>
    <w:rPr>
      <w:sz w:val="22"/>
      <w:szCs w:val="22"/>
    </w:rPr>
  </w:style>
  <w:style w:type="paragraph" w:styleId="xl36" w:customStyle="1">
    <w:name w:val="xl36"/>
    <w:basedOn w:val="Normal"/>
    <w:qFormat/>
    <w:pPr>
      <w:pBdr>
        <w:left w:val="single" w:sz="8" w:space="0" w:color="000000"/>
        <w:right w:val="single" w:sz="4" w:space="0" w:color="000000"/>
      </w:pBdr>
      <w:spacing w:beforeAutospacing="1" w:afterAutospacing="1"/>
      <w:jc w:val="center"/>
      <w:textAlignment w:val="center"/>
    </w:pPr>
    <w:rPr>
      <w:sz w:val="22"/>
      <w:szCs w:val="22"/>
    </w:rPr>
  </w:style>
  <w:style w:type="paragraph" w:styleId="xl37" w:customStyle="1">
    <w:name w:val="xl37"/>
    <w:basedOn w:val="Normal"/>
    <w:qFormat/>
    <w:pPr>
      <w:pBdr>
        <w:left w:val="single" w:sz="8" w:space="0" w:color="000000"/>
        <w:bottom w:val="single" w:sz="8" w:space="0" w:color="000000"/>
        <w:right w:val="single" w:sz="4" w:space="0" w:color="000000"/>
      </w:pBdr>
      <w:spacing w:beforeAutospacing="1" w:afterAutospacing="1"/>
      <w:jc w:val="center"/>
      <w:textAlignment w:val="center"/>
    </w:pPr>
    <w:rPr>
      <w:sz w:val="22"/>
      <w:szCs w:val="22"/>
    </w:rPr>
  </w:style>
  <w:style w:type="paragraph" w:styleId="xl38" w:customStyle="1">
    <w:name w:val="xl38"/>
    <w:basedOn w:val="Normal"/>
    <w:qFormat/>
    <w:pPr>
      <w:pBdr>
        <w:left w:val="single" w:sz="4" w:space="0" w:color="000000"/>
        <w:bottom w:val="single" w:sz="8" w:space="0" w:color="000000"/>
      </w:pBdr>
      <w:spacing w:beforeAutospacing="1" w:afterAutospacing="1"/>
      <w:textAlignment w:val="center"/>
    </w:pPr>
    <w:rPr>
      <w:sz w:val="22"/>
      <w:szCs w:val="22"/>
    </w:rPr>
  </w:style>
  <w:style w:type="paragraph" w:styleId="xl39" w:customStyle="1">
    <w:name w:val="xl39"/>
    <w:basedOn w:val="Normal"/>
    <w:qFormat/>
    <w:pPr>
      <w:pBdr>
        <w:right w:val="single" w:sz="4" w:space="0" w:color="000000"/>
      </w:pBdr>
      <w:spacing w:beforeAutospacing="1" w:afterAutospacing="1"/>
      <w:jc w:val="center"/>
      <w:textAlignment w:val="center"/>
    </w:pPr>
    <w:rPr>
      <w:sz w:val="22"/>
      <w:szCs w:val="22"/>
    </w:rPr>
  </w:style>
  <w:style w:type="paragraph" w:styleId="xl40" w:customStyle="1">
    <w:name w:val="xl40"/>
    <w:basedOn w:val="Normal"/>
    <w:qFormat/>
    <w:pPr>
      <w:pBdr>
        <w:right w:val="single" w:sz="4" w:space="0" w:color="000000"/>
      </w:pBdr>
      <w:spacing w:beforeAutospacing="1" w:afterAutospacing="1"/>
      <w:jc w:val="right"/>
      <w:textAlignment w:val="center"/>
    </w:pPr>
    <w:rPr>
      <w:sz w:val="22"/>
      <w:szCs w:val="22"/>
    </w:rPr>
  </w:style>
  <w:style w:type="paragraph" w:styleId="xl41" w:customStyle="1">
    <w:name w:val="xl41"/>
    <w:basedOn w:val="Normal"/>
    <w:qFormat/>
    <w:pPr>
      <w:pBdr>
        <w:right w:val="single" w:sz="8" w:space="0" w:color="000000"/>
      </w:pBdr>
      <w:spacing w:beforeAutospacing="1" w:afterAutospacing="1"/>
      <w:jc w:val="right"/>
      <w:textAlignment w:val="center"/>
    </w:pPr>
    <w:rPr>
      <w:sz w:val="22"/>
      <w:szCs w:val="22"/>
    </w:rPr>
  </w:style>
  <w:style w:type="paragraph" w:styleId="xl42" w:customStyle="1">
    <w:name w:val="xl42"/>
    <w:basedOn w:val="Normal"/>
    <w:qFormat/>
    <w:pPr>
      <w:pBdr>
        <w:top w:val="single" w:sz="8" w:space="0" w:color="000000"/>
        <w:left w:val="single" w:sz="8" w:space="0" w:color="000000"/>
        <w:bottom w:val="single" w:sz="8" w:space="0" w:color="000000"/>
        <w:right w:val="single" w:sz="4" w:space="0" w:color="000000"/>
      </w:pBdr>
      <w:spacing w:beforeAutospacing="1" w:afterAutospacing="1"/>
      <w:jc w:val="center"/>
      <w:textAlignment w:val="center"/>
    </w:pPr>
    <w:rPr>
      <w:sz w:val="22"/>
      <w:szCs w:val="22"/>
    </w:rPr>
  </w:style>
  <w:style w:type="paragraph" w:styleId="xl43" w:customStyle="1">
    <w:name w:val="xl43"/>
    <w:basedOn w:val="Normal"/>
    <w:qFormat/>
    <w:pPr>
      <w:pBdr>
        <w:top w:val="single" w:sz="8" w:space="0" w:color="000000"/>
        <w:bottom w:val="single" w:sz="8" w:space="0" w:color="000000"/>
        <w:right w:val="single" w:sz="4" w:space="0" w:color="000000"/>
      </w:pBdr>
      <w:spacing w:beforeAutospacing="1" w:afterAutospacing="1"/>
      <w:jc w:val="right"/>
      <w:textAlignment w:val="center"/>
    </w:pPr>
    <w:rPr>
      <w:sz w:val="22"/>
      <w:szCs w:val="22"/>
    </w:rPr>
  </w:style>
  <w:style w:type="paragraph" w:styleId="xl44" w:customStyle="1">
    <w:name w:val="xl44"/>
    <w:basedOn w:val="Normal"/>
    <w:qFormat/>
    <w:pPr>
      <w:pBdr>
        <w:top w:val="single" w:sz="8" w:space="0" w:color="000000"/>
        <w:bottom w:val="single" w:sz="8" w:space="0" w:color="000000"/>
        <w:right w:val="single" w:sz="8" w:space="0" w:color="000000"/>
      </w:pBdr>
      <w:spacing w:beforeAutospacing="1" w:afterAutospacing="1"/>
      <w:jc w:val="right"/>
      <w:textAlignment w:val="center"/>
    </w:pPr>
    <w:rPr>
      <w:sz w:val="22"/>
      <w:szCs w:val="22"/>
    </w:rPr>
  </w:style>
  <w:style w:type="paragraph" w:styleId="xl45" w:customStyle="1">
    <w:name w:val="xl45"/>
    <w:basedOn w:val="Normal"/>
    <w:qFormat/>
    <w:pPr>
      <w:pBdr>
        <w:top w:val="single" w:sz="4" w:space="0" w:color="000000"/>
        <w:left w:val="single" w:sz="4" w:space="0" w:color="000000"/>
        <w:bottom w:val="single" w:sz="4" w:space="0" w:color="000000"/>
      </w:pBdr>
      <w:shd w:val="clear" w:color="auto" w:fill="C0C0C0"/>
      <w:spacing w:beforeAutospacing="1" w:afterAutospacing="1"/>
      <w:jc w:val="center"/>
      <w:textAlignment w:val="center"/>
    </w:pPr>
    <w:rPr>
      <w:b/>
      <w:bCs/>
      <w:color w:val="000000"/>
      <w:sz w:val="22"/>
      <w:szCs w:val="22"/>
    </w:rPr>
  </w:style>
  <w:style w:type="paragraph" w:styleId="xl46" w:customStyle="1">
    <w:name w:val="xl46"/>
    <w:basedOn w:val="Normal"/>
    <w:qFormat/>
    <w:pPr>
      <w:pBdr>
        <w:top w:val="single" w:sz="4" w:space="0" w:color="000000"/>
        <w:bottom w:val="single" w:sz="4" w:space="0" w:color="000000"/>
      </w:pBdr>
      <w:shd w:val="clear" w:color="auto" w:fill="C0C0C0"/>
      <w:spacing w:beforeAutospacing="1" w:afterAutospacing="1"/>
      <w:jc w:val="center"/>
      <w:textAlignment w:val="center"/>
    </w:pPr>
    <w:rPr>
      <w:b/>
      <w:bCs/>
      <w:color w:val="000000"/>
      <w:sz w:val="22"/>
      <w:szCs w:val="22"/>
    </w:rPr>
  </w:style>
  <w:style w:type="paragraph" w:styleId="xl47" w:customStyle="1">
    <w:name w:val="xl47"/>
    <w:basedOn w:val="Normal"/>
    <w:qFormat/>
    <w:pPr>
      <w:pBdr>
        <w:top w:val="single" w:sz="4" w:space="0" w:color="000000"/>
        <w:bottom w:val="single" w:sz="4" w:space="0" w:color="000000"/>
        <w:right w:val="single" w:sz="4" w:space="0" w:color="000000"/>
      </w:pBdr>
      <w:shd w:val="clear" w:color="auto" w:fill="C0C0C0"/>
      <w:spacing w:beforeAutospacing="1" w:afterAutospacing="1"/>
      <w:jc w:val="center"/>
      <w:textAlignment w:val="center"/>
    </w:pPr>
    <w:rPr>
      <w:b/>
      <w:bCs/>
      <w:color w:val="000000"/>
      <w:sz w:val="22"/>
      <w:szCs w:val="22"/>
    </w:rPr>
  </w:style>
  <w:style w:type="paragraph" w:styleId="xl48" w:customStyle="1">
    <w:name w:val="xl48"/>
    <w:basedOn w:val="Normal"/>
    <w:qFormat/>
    <w:pPr>
      <w:pBdr>
        <w:bottom w:val="single" w:sz="4" w:space="0" w:color="000000"/>
        <w:right w:val="single" w:sz="4" w:space="0" w:color="000000"/>
      </w:pBdr>
      <w:shd w:val="clear" w:color="auto" w:fill="C0C0C0"/>
      <w:spacing w:beforeAutospacing="1" w:afterAutospacing="1"/>
      <w:jc w:val="center"/>
      <w:textAlignment w:val="center"/>
    </w:pPr>
    <w:rPr>
      <w:sz w:val="22"/>
      <w:szCs w:val="22"/>
    </w:rPr>
  </w:style>
  <w:style w:type="paragraph" w:styleId="xl49" w:customStyle="1">
    <w:name w:val="xl49"/>
    <w:basedOn w:val="Normal"/>
    <w:qFormat/>
    <w:pPr>
      <w:pBdr>
        <w:top w:val="single" w:sz="4" w:space="0" w:color="000000"/>
        <w:bottom w:val="single" w:sz="4" w:space="0" w:color="000000"/>
        <w:right w:val="single" w:sz="4" w:space="0" w:color="000000"/>
      </w:pBdr>
      <w:shd w:val="clear" w:color="auto" w:fill="C0C0C0"/>
      <w:spacing w:beforeAutospacing="1" w:afterAutospacing="1"/>
      <w:jc w:val="center"/>
      <w:textAlignment w:val="center"/>
    </w:pPr>
    <w:rPr>
      <w:rFonts w:eastAsia="Arial Unicode MS"/>
      <w:b/>
      <w:bCs/>
      <w:color w:val="000000"/>
      <w:sz w:val="22"/>
      <w:szCs w:val="22"/>
    </w:rPr>
  </w:style>
  <w:style w:type="paragraph" w:styleId="xl50" w:customStyle="1">
    <w:name w:val="xl50"/>
    <w:basedOn w:val="Normal"/>
    <w:qFormat/>
    <w:pPr>
      <w:pBdr>
        <w:bottom w:val="single" w:sz="4" w:space="0" w:color="000000"/>
        <w:right w:val="single" w:sz="4" w:space="0" w:color="000000"/>
      </w:pBdr>
      <w:shd w:val="clear" w:color="auto" w:fill="C0C0C0"/>
      <w:spacing w:beforeAutospacing="1" w:afterAutospacing="1"/>
      <w:jc w:val="center"/>
      <w:textAlignment w:val="center"/>
    </w:pPr>
    <w:rPr>
      <w:rFonts w:eastAsia="Arial Unicode MS"/>
      <w:sz w:val="22"/>
      <w:szCs w:val="22"/>
    </w:rPr>
  </w:style>
  <w:style w:type="paragraph" w:styleId="NzevSmlouvy" w:customStyle="1">
    <w:name w:val="NázevSmlouvy"/>
    <w:basedOn w:val="Header"/>
    <w:next w:val="Normal"/>
    <w:qFormat/>
    <w:pPr>
      <w:keepNext w:val="true"/>
      <w:widowControl w:val="false"/>
      <w:tabs>
        <w:tab w:val="clear" w:pos="4536"/>
        <w:tab w:val="clear" w:pos="9072"/>
      </w:tabs>
      <w:spacing w:before="480" w:after="0"/>
      <w:jc w:val="center"/>
    </w:pPr>
    <w:rPr>
      <w:b/>
      <w:bCs/>
      <w:sz w:val="32"/>
      <w:szCs w:val="20"/>
    </w:rPr>
  </w:style>
  <w:style w:type="paragraph" w:styleId="OdstavecSmlouvy" w:customStyle="1">
    <w:name w:val="OdstavecSmlouvy"/>
    <w:basedOn w:val="Normal"/>
    <w:qFormat/>
    <w:pPr>
      <w:keepLines/>
      <w:numPr>
        <w:ilvl w:val="0"/>
        <w:numId w:val="1"/>
      </w:numPr>
      <w:tabs>
        <w:tab w:val="clear" w:pos="709"/>
        <w:tab w:val="left" w:pos="426" w:leader="none"/>
        <w:tab w:val="left" w:pos="1701" w:leader="none"/>
      </w:tabs>
      <w:spacing w:before="0" w:after="120"/>
      <w:jc w:val="both"/>
    </w:pPr>
    <w:rPr>
      <w:szCs w:val="20"/>
    </w:rPr>
  </w:style>
  <w:style w:type="paragraph" w:styleId="slovanPododstavecSmlouvy" w:customStyle="1">
    <w:name w:val="ČíslovanýPododstavecSmlouvy"/>
    <w:basedOn w:val="BodyText"/>
    <w:qFormat/>
    <w:pPr>
      <w:numPr>
        <w:ilvl w:val="0"/>
        <w:numId w:val="21"/>
      </w:numPr>
      <w:tabs>
        <w:tab w:val="clear" w:pos="540"/>
        <w:tab w:val="left" w:pos="284" w:leader="none"/>
      </w:tabs>
    </w:pPr>
    <w:rPr/>
  </w:style>
  <w:style w:type="paragraph" w:styleId="dajeOSmluvnStran" w:customStyle="1">
    <w:name w:val="ÚdajeOSmluvníStraně"/>
    <w:basedOn w:val="Normal"/>
    <w:qFormat/>
    <w:pPr>
      <w:ind w:left="357"/>
    </w:pPr>
    <w:rPr>
      <w:szCs w:val="20"/>
    </w:rPr>
  </w:style>
  <w:style w:type="paragraph" w:styleId="BalloonText">
    <w:name w:val="Balloon Text"/>
    <w:basedOn w:val="Normal"/>
    <w:semiHidden/>
    <w:qFormat/>
    <w:pPr/>
    <w:rPr>
      <w:rFonts w:ascii="Tahoma" w:hAnsi="Tahoma" w:cs="Tahoma"/>
      <w:sz w:val="16"/>
      <w:szCs w:val="16"/>
    </w:rPr>
  </w:style>
  <w:style w:type="paragraph" w:styleId="Subtitle">
    <w:name w:val="Subtitle"/>
    <w:basedOn w:val="Normal"/>
    <w:qFormat/>
    <w:pPr>
      <w:jc w:val="center"/>
    </w:pPr>
    <w:rPr>
      <w:b/>
      <w:color w:val="000000"/>
      <w:sz w:val="28"/>
      <w:szCs w:val="20"/>
    </w:rPr>
  </w:style>
  <w:style w:type="paragraph" w:styleId="slovn" w:customStyle="1">
    <w:name w:val="Číslování"/>
    <w:basedOn w:val="Smlouva3"/>
    <w:qFormat/>
    <w:pPr>
      <w:widowControl/>
    </w:pPr>
    <w:rPr/>
  </w:style>
  <w:style w:type="paragraph" w:styleId="KUMS-adresa" w:customStyle="1">
    <w:name w:val="KUMS-adresa"/>
    <w:basedOn w:val="Normal"/>
    <w:qFormat/>
    <w:rsid w:val="00f13a88"/>
    <w:pPr>
      <w:spacing w:lineRule="exact" w:line="280"/>
      <w:jc w:val="both"/>
    </w:pPr>
    <w:rPr>
      <w:rFonts w:ascii="Tahoma" w:hAnsi="Tahoma" w:cs="Tahoma"/>
      <w:sz w:val="20"/>
      <w:szCs w:val="20"/>
    </w:rPr>
  </w:style>
  <w:style w:type="paragraph" w:styleId="CharChar1" w:customStyle="1">
    <w:name w:val="Char Char1"/>
    <w:basedOn w:val="Normal"/>
    <w:qFormat/>
    <w:rsid w:val="00b937d0"/>
    <w:pPr>
      <w:spacing w:lineRule="exact" w:line="240" w:before="0" w:after="160"/>
    </w:pPr>
    <w:rPr>
      <w:rFonts w:ascii="Verdana" w:hAnsi="Verdana" w:cs="Verdana"/>
      <w:sz w:val="20"/>
      <w:szCs w:val="20"/>
      <w:lang w:val="en-US" w:eastAsia="en-US"/>
    </w:rPr>
  </w:style>
  <w:style w:type="paragraph" w:styleId="msolistparagraph" w:customStyle="1">
    <w:name w:val="msolistparagraph"/>
    <w:basedOn w:val="Normal"/>
    <w:qFormat/>
    <w:rsid w:val="00441296"/>
    <w:pPr>
      <w:ind w:left="720"/>
    </w:pPr>
    <w:rPr/>
  </w:style>
  <w:style w:type="paragraph" w:styleId="CharCharChar" w:customStyle="1">
    <w:name w:val="Char Char Char"/>
    <w:basedOn w:val="Normal"/>
    <w:qFormat/>
    <w:rsid w:val="00655a98"/>
    <w:pPr>
      <w:spacing w:lineRule="exact" w:line="240" w:before="0" w:after="160"/>
    </w:pPr>
    <w:rPr>
      <w:rFonts w:ascii="Verdana" w:hAnsi="Verdana" w:cs="Verdana"/>
      <w:sz w:val="20"/>
      <w:szCs w:val="20"/>
      <w:lang w:val="en-US" w:eastAsia="en-US"/>
    </w:rPr>
  </w:style>
  <w:style w:type="paragraph" w:styleId="odstavecsmlouvy1" w:customStyle="1">
    <w:name w:val="odstavecsmlouvy1"/>
    <w:basedOn w:val="Normal"/>
    <w:qFormat/>
    <w:rsid w:val="004c68e7"/>
    <w:pPr>
      <w:spacing w:beforeAutospacing="1" w:afterAutospacing="1"/>
    </w:pPr>
    <w:rPr/>
  </w:style>
  <w:style w:type="paragraph" w:styleId="Default" w:customStyle="1">
    <w:name w:val="Default"/>
    <w:qFormat/>
    <w:rsid w:val="00807e38"/>
    <w:pPr>
      <w:widowControl/>
      <w:suppressAutoHyphens w:val="true"/>
      <w:bidi w:val="0"/>
      <w:spacing w:before="0" w:after="0"/>
      <w:jc w:val="left"/>
    </w:pPr>
    <w:rPr>
      <w:rFonts w:ascii="Tahoma" w:hAnsi="Tahoma" w:eastAsia="Times New Roman" w:cs="Tahoma"/>
      <w:color w:val="000000"/>
      <w:kern w:val="0"/>
      <w:sz w:val="24"/>
      <w:szCs w:val="24"/>
      <w:lang w:val="cs-CZ" w:eastAsia="cs-CZ" w:bidi="ar-SA"/>
    </w:rPr>
  </w:style>
  <w:style w:type="paragraph" w:styleId="CommentText">
    <w:name w:val="annotation text"/>
    <w:basedOn w:val="Normal"/>
    <w:link w:val="TextkomenteChar"/>
    <w:uiPriority w:val="99"/>
    <w:semiHidden/>
    <w:unhideWhenUsed/>
    <w:rsid w:val="0017385a"/>
    <w:pPr/>
    <w:rPr>
      <w:sz w:val="20"/>
      <w:szCs w:val="20"/>
    </w:rPr>
  </w:style>
  <w:style w:type="paragraph" w:styleId="annotationsubject">
    <w:name w:val="annotation subject"/>
    <w:basedOn w:val="CommentText"/>
    <w:next w:val="CommentText"/>
    <w:link w:val="PedmtkomenteChar"/>
    <w:uiPriority w:val="99"/>
    <w:semiHidden/>
    <w:unhideWhenUsed/>
    <w:qFormat/>
    <w:rsid w:val="0017385a"/>
    <w:pPr/>
    <w:rPr>
      <w:b/>
      <w:bCs/>
    </w:rPr>
  </w:style>
  <w:style w:type="paragraph" w:styleId="paragraph" w:customStyle="1">
    <w:name w:val="paragraph"/>
    <w:basedOn w:val="Normal"/>
    <w:qFormat/>
    <w:rsid w:val="005e08a5"/>
    <w:pPr>
      <w:spacing w:beforeAutospacing="1" w:afterAutospacing="1"/>
    </w:pPr>
    <w:rPr/>
  </w:style>
  <w:style w:type="paragraph" w:styleId="ListParagraph">
    <w:name w:val="List Paragraph"/>
    <w:basedOn w:val="Normal"/>
    <w:uiPriority w:val="34"/>
    <w:qFormat/>
    <w:pPr>
      <w:spacing w:before="0" w:after="0"/>
      <w:ind w:left="720"/>
      <w:contextualSpacing/>
    </w:pPr>
    <w:rPr/>
  </w:style>
  <w:style w:type="numbering" w:styleId="Bezseznamuuser" w:default="1">
    <w:name w:val="Bez seznamu (user)"/>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rsid w:val="00d6060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2" ma:contentTypeDescription="Create a new document." ma:contentTypeScope="" ma:versionID="0c4c5e0a1bcd3ba580c9dee2863ce40a">
  <xsd:schema xmlns:xsd="http://www.w3.org/2001/XMLSchema" xmlns:xs="http://www.w3.org/2001/XMLSchema" xmlns:p="http://schemas.microsoft.com/office/2006/metadata/properties" xmlns:ns2="94bb808a-9cb8-49f3-97bd-06f68a3035b2" targetNamespace="http://schemas.microsoft.com/office/2006/metadata/properties" ma:root="true" ma:fieldsID="fff271655258f3b2d1ffe7751292224b" ns2:_="">
    <xsd:import namespace="94bb808a-9cb8-49f3-97bd-06f68a3035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E2F641-1FA7-460A-A4FB-C1F69E908976}">
  <ds:schemaRefs>
    <ds:schemaRef ds:uri="http://schemas.openxmlformats.org/officeDocument/2006/bibliography"/>
  </ds:schemaRefs>
</ds:datastoreItem>
</file>

<file path=customXml/itemProps3.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4.xml><?xml version="1.0" encoding="utf-8"?>
<ds:datastoreItem xmlns:ds="http://schemas.openxmlformats.org/officeDocument/2006/customXml" ds:itemID="{117F4E04-257C-4DB0-86BD-9494F5FE1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Application>LibreOffice/26.2.1.2$Windows_X86_64 LibreOffice_project/620$Build-2</Application>
  <AppVersion>15.0000</AppVersion>
  <Pages>18</Pages>
  <Words>7808</Words>
  <Characters>46532</Characters>
  <CharactersWithSpaces>53869</CharactersWithSpaces>
  <Paragraphs>286</Paragraphs>
  <Company>Moravskoslezský kraj</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2023-01-31T09:59:00Z</dcterms:created>
  <dc:creator>sames</dc:creator>
  <dc:description/>
  <dc:language>cs-CZ</dc:language>
  <cp:lastModifiedBy/>
  <cp:lastPrinted>2019-06-12T07:09:00Z</cp:lastPrinted>
  <dcterms:modified xsi:type="dcterms:W3CDTF">2026-04-26T17:17:50Z</dcterms:modified>
  <cp:revision>108</cp:revision>
  <dc:subject/>
  <dc:title>SMLOUVA  O  DÍLO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ActionId">
    <vt:lpwstr>c98fdd37-2dcd-4ca8-8100-d2df55d7289f</vt:lpwstr>
  </property>
  <property fmtid="{D5CDD505-2E9C-101B-9397-08002B2CF9AE}" pid="4" name="MSIP_Label_63ff9749-f68b-40ec-aa05-229831920469_ContentBits">
    <vt:lpwstr>2</vt:lpwstr>
  </property>
  <property fmtid="{D5CDD505-2E9C-101B-9397-08002B2CF9AE}" pid="5" name="MSIP_Label_63ff9749-f68b-40ec-aa05-229831920469_Enabled">
    <vt:lpwstr>true</vt:lpwstr>
  </property>
  <property fmtid="{D5CDD505-2E9C-101B-9397-08002B2CF9AE}" pid="6" name="MSIP_Label_63ff9749-f68b-40ec-aa05-229831920469_Method">
    <vt:lpwstr>Standard</vt:lpwstr>
  </property>
  <property fmtid="{D5CDD505-2E9C-101B-9397-08002B2CF9AE}" pid="7" name="MSIP_Label_63ff9749-f68b-40ec-aa05-229831920469_Name">
    <vt:lpwstr>Neveřejná informace</vt:lpwstr>
  </property>
  <property fmtid="{D5CDD505-2E9C-101B-9397-08002B2CF9AE}" pid="8" name="MSIP_Label_63ff9749-f68b-40ec-aa05-229831920469_SetDate">
    <vt:lpwstr>2022-02-04T10:04:10Z</vt:lpwstr>
  </property>
  <property fmtid="{D5CDD505-2E9C-101B-9397-08002B2CF9AE}" pid="9" name="MSIP_Label_63ff9749-f68b-40ec-aa05-229831920469_SiteId">
    <vt:lpwstr>39f24d0b-aa30-4551-8e81-43c77cf1000e</vt:lpwstr>
  </property>
</Properties>
</file>