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D727147" w14:textId="77777777" w:rsidR="008C154E" w:rsidRDefault="008C154E" w:rsidP="008C154E">
      <w:pPr>
        <w:widowControl w:val="0"/>
        <w:jc w:val="center"/>
        <w:rPr>
          <w:b/>
          <w:bCs/>
          <w:sz w:val="24"/>
          <w:szCs w:val="24"/>
        </w:rPr>
      </w:pPr>
      <w:r w:rsidRPr="008C154E">
        <w:rPr>
          <w:b/>
          <w:bCs/>
          <w:sz w:val="24"/>
          <w:szCs w:val="24"/>
        </w:rPr>
        <w:t>„Rekonstrukce vybraných alejí na Novoborsku</w:t>
      </w:r>
    </w:p>
    <w:p w14:paraId="0543CD02" w14:textId="1A9690BA" w:rsidR="008C154E" w:rsidRPr="008C154E" w:rsidRDefault="008C154E" w:rsidP="008C154E">
      <w:pPr>
        <w:widowControl w:val="0"/>
        <w:jc w:val="center"/>
        <w:rPr>
          <w:b/>
          <w:bCs/>
          <w:sz w:val="24"/>
          <w:szCs w:val="24"/>
        </w:rPr>
      </w:pPr>
      <w:r w:rsidRPr="008C154E">
        <w:rPr>
          <w:b/>
          <w:bCs/>
          <w:sz w:val="24"/>
          <w:szCs w:val="24"/>
        </w:rPr>
        <w:t xml:space="preserve"> - komunikace č. </w:t>
      </w:r>
      <w:r w:rsidR="003216C5" w:rsidRPr="003216C5">
        <w:rPr>
          <w:b/>
          <w:bCs/>
          <w:sz w:val="24"/>
          <w:szCs w:val="24"/>
        </w:rPr>
        <w:t>III/26</w:t>
      </w:r>
      <w:r w:rsidR="00085019">
        <w:rPr>
          <w:b/>
          <w:bCs/>
          <w:sz w:val="24"/>
          <w:szCs w:val="24"/>
        </w:rPr>
        <w:t>833</w:t>
      </w:r>
      <w:r w:rsidR="003216C5" w:rsidRPr="003216C5">
        <w:rPr>
          <w:b/>
          <w:bCs/>
          <w:sz w:val="24"/>
          <w:szCs w:val="24"/>
        </w:rPr>
        <w:t xml:space="preserve"> </w:t>
      </w:r>
      <w:r w:rsidR="00085019">
        <w:rPr>
          <w:b/>
          <w:bCs/>
          <w:sz w:val="24"/>
          <w:szCs w:val="24"/>
        </w:rPr>
        <w:t>Srní</w:t>
      </w:r>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Doplní účastník</w:t>
      </w:r>
      <w:bookmarkEnd w:id="0"/>
      <w:r w:rsidRPr="00670B04" w:rsidDel="00423F57">
        <w:rPr>
          <w:b/>
          <w:color w:val="000000"/>
          <w:sz w:val="24"/>
          <w:szCs w:val="24"/>
          <w:highlight w:val="green"/>
        </w:rPr>
        <w:t xml:space="preserve"> </w:t>
      </w:r>
      <w:r w:rsidRPr="00670B04">
        <w:rPr>
          <w:b/>
          <w:color w:val="000000"/>
          <w:sz w:val="24"/>
          <w:szCs w:val="24"/>
        </w:rPr>
        <w:t>]</w:t>
      </w:r>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Doplní účastník</w:t>
      </w:r>
      <w:r w:rsidRPr="00670B04" w:rsidDel="00423F57">
        <w:rPr>
          <w:color w:val="000000"/>
          <w:sz w:val="24"/>
          <w:szCs w:val="24"/>
          <w:highlight w:val="green"/>
        </w:rPr>
        <w:t xml:space="preserve"> </w:t>
      </w:r>
      <w:r w:rsidRPr="00670B04">
        <w:rPr>
          <w:color w:val="000000"/>
          <w:sz w:val="24"/>
          <w:szCs w:val="24"/>
        </w:rPr>
        <w:t>]</w:t>
      </w:r>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lastRenderedPageBreak/>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6481129E"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FD7695" w:rsidRPr="00FD7695">
        <w:rPr>
          <w:b/>
          <w:bCs/>
          <w:sz w:val="24"/>
          <w:szCs w:val="24"/>
        </w:rPr>
        <w:t>Rekonstrukce vybraných alejí na Novoborsku - komunikace č. III/26</w:t>
      </w:r>
      <w:r w:rsidR="00AA7779">
        <w:rPr>
          <w:b/>
          <w:bCs/>
          <w:sz w:val="24"/>
          <w:szCs w:val="24"/>
        </w:rPr>
        <w:t>833</w:t>
      </w:r>
      <w:r w:rsidR="00C37A38">
        <w:rPr>
          <w:b/>
          <w:bCs/>
          <w:sz w:val="24"/>
          <w:szCs w:val="24"/>
        </w:rPr>
        <w:t xml:space="preserve"> </w:t>
      </w:r>
      <w:r w:rsidR="00AA7779">
        <w:rPr>
          <w:b/>
          <w:bCs/>
          <w:sz w:val="24"/>
          <w:szCs w:val="24"/>
        </w:rPr>
        <w:t>Srní</w:t>
      </w:r>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r w:rsidRPr="00E36EDA">
        <w:rPr>
          <w:sz w:val="24"/>
        </w:rPr>
        <w:t>OPZP_22_1_3_01_00</w:t>
      </w:r>
      <w:r w:rsidR="00AA7779">
        <w:rPr>
          <w:sz w:val="24"/>
        </w:rPr>
        <w:t>123</w:t>
      </w:r>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674117FD" w14:textId="77777777" w:rsidR="00C37A38" w:rsidRDefault="00534D57" w:rsidP="00EA3C17">
      <w:pPr>
        <w:widowControl w:val="0"/>
        <w:numPr>
          <w:ilvl w:val="1"/>
          <w:numId w:val="14"/>
        </w:numPr>
        <w:overflowPunct/>
        <w:autoSpaceDE/>
        <w:autoSpaceDN/>
        <w:adjustRightInd/>
        <w:spacing w:before="120" w:after="0" w:line="276" w:lineRule="auto"/>
        <w:textAlignment w:val="auto"/>
        <w:rPr>
          <w:b/>
          <w:bCs/>
          <w:sz w:val="24"/>
          <w:szCs w:val="24"/>
        </w:rPr>
      </w:pPr>
      <w:r w:rsidRPr="0061597C">
        <w:rPr>
          <w:sz w:val="24"/>
          <w:szCs w:val="24"/>
        </w:rPr>
        <w:t>Název:</w:t>
      </w:r>
      <w:r w:rsidR="00EA3C17">
        <w:rPr>
          <w:sz w:val="24"/>
          <w:szCs w:val="24"/>
        </w:rPr>
        <w:t xml:space="preserve"> </w:t>
      </w:r>
      <w:r w:rsidR="00EA3C17" w:rsidRPr="00EA3C17">
        <w:rPr>
          <w:b/>
          <w:bCs/>
          <w:sz w:val="24"/>
          <w:szCs w:val="24"/>
        </w:rPr>
        <w:t>„Rekonstrukce vybraných alejí na Novoborsku</w:t>
      </w:r>
    </w:p>
    <w:p w14:paraId="421D4C80" w14:textId="5BEF9C22" w:rsidR="00EA3C17" w:rsidRPr="00EA3C17" w:rsidRDefault="00EA3C17" w:rsidP="00C37A38">
      <w:pPr>
        <w:widowControl w:val="0"/>
        <w:overflowPunct/>
        <w:autoSpaceDE/>
        <w:autoSpaceDN/>
        <w:adjustRightInd/>
        <w:spacing w:before="120" w:after="0" w:line="276" w:lineRule="auto"/>
        <w:ind w:left="1440"/>
        <w:textAlignment w:val="auto"/>
        <w:rPr>
          <w:b/>
          <w:bCs/>
          <w:sz w:val="24"/>
          <w:szCs w:val="24"/>
        </w:rPr>
      </w:pPr>
      <w:r w:rsidRPr="00EA3C17">
        <w:rPr>
          <w:b/>
          <w:bCs/>
          <w:sz w:val="24"/>
          <w:szCs w:val="24"/>
        </w:rPr>
        <w:t xml:space="preserve"> - komunikace č. III/26</w:t>
      </w:r>
      <w:r w:rsidR="00AA7779">
        <w:rPr>
          <w:b/>
          <w:bCs/>
          <w:sz w:val="24"/>
          <w:szCs w:val="24"/>
        </w:rPr>
        <w:t>833</w:t>
      </w:r>
      <w:r w:rsidR="00C37A38">
        <w:rPr>
          <w:b/>
          <w:bCs/>
          <w:sz w:val="24"/>
          <w:szCs w:val="24"/>
        </w:rPr>
        <w:t xml:space="preserve"> </w:t>
      </w:r>
      <w:r w:rsidR="00AA7779">
        <w:rPr>
          <w:b/>
          <w:bCs/>
          <w:sz w:val="24"/>
          <w:szCs w:val="24"/>
        </w:rPr>
        <w:t>Srní</w:t>
      </w:r>
      <w:r w:rsidRPr="00EA3C17">
        <w:rPr>
          <w:b/>
          <w:bCs/>
          <w:sz w:val="24"/>
          <w:szCs w:val="24"/>
        </w:rPr>
        <w:t xml:space="preserve">“ </w:t>
      </w:r>
    </w:p>
    <w:p w14:paraId="262B97F2" w14:textId="5FC1298A"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číslo </w:t>
      </w:r>
      <w:r w:rsidR="00077B20" w:rsidRPr="00E36EDA">
        <w:t xml:space="preserve"> </w:t>
      </w:r>
      <w:r w:rsidRPr="00E36EDA">
        <w:rPr>
          <w:sz w:val="24"/>
        </w:rPr>
        <w:t>OPZP_22_1_3_01_00</w:t>
      </w:r>
      <w:r w:rsidR="00AA7779">
        <w:rPr>
          <w:sz w:val="24"/>
        </w:rPr>
        <w:t>123</w:t>
      </w:r>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1CB5B735"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w:t>
      </w:r>
      <w:r w:rsidR="00610611" w:rsidRPr="00610611">
        <w:rPr>
          <w:rFonts w:ascii="Times New Roman" w:hAnsi="Times New Roman"/>
          <w:sz w:val="24"/>
          <w:szCs w:val="24"/>
        </w:rPr>
        <w:t>III/26</w:t>
      </w:r>
      <w:r w:rsidR="00AA7779">
        <w:rPr>
          <w:rFonts w:ascii="Times New Roman" w:hAnsi="Times New Roman"/>
          <w:sz w:val="24"/>
          <w:szCs w:val="24"/>
        </w:rPr>
        <w:t>833</w:t>
      </w:r>
      <w:r w:rsidR="00610611" w:rsidRPr="00610611">
        <w:rPr>
          <w:rFonts w:ascii="Times New Roman" w:hAnsi="Times New Roman"/>
          <w:sz w:val="24"/>
          <w:szCs w:val="24"/>
        </w:rPr>
        <w:t xml:space="preserve"> v úseku </w:t>
      </w:r>
      <w:r w:rsidR="00AA7779" w:rsidRPr="00AA7779">
        <w:rPr>
          <w:rFonts w:ascii="Times New Roman" w:hAnsi="Times New Roman"/>
          <w:sz w:val="24"/>
          <w:szCs w:val="24"/>
        </w:rPr>
        <w:t>Zahrádky (Šestidomí) – Srní u České Lípy</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1AF6173D"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w:t>
      </w:r>
      <w:r w:rsidR="003F03FE">
        <w:rPr>
          <w:color w:val="000000"/>
          <w:sz w:val="24"/>
          <w:szCs w:val="24"/>
        </w:rPr>
        <w:t>na Novoborsku</w:t>
      </w:r>
      <w:r w:rsidR="007E61D0" w:rsidRPr="00E36EDA">
        <w:rPr>
          <w:color w:val="000000"/>
          <w:sz w:val="24"/>
          <w:szCs w:val="24"/>
        </w:rPr>
        <w:t xml:space="preserve"> -</w:t>
      </w:r>
      <w:r w:rsidR="00607670">
        <w:rPr>
          <w:color w:val="000000"/>
          <w:sz w:val="24"/>
          <w:szCs w:val="24"/>
        </w:rPr>
        <w:t xml:space="preserve"> </w:t>
      </w:r>
      <w:r w:rsidR="007E61D0" w:rsidRPr="00E36EDA">
        <w:rPr>
          <w:color w:val="000000"/>
          <w:sz w:val="24"/>
          <w:szCs w:val="24"/>
        </w:rPr>
        <w:t>komunikace III/2</w:t>
      </w:r>
      <w:r w:rsidR="00F27ECD">
        <w:rPr>
          <w:color w:val="000000"/>
          <w:sz w:val="24"/>
          <w:szCs w:val="24"/>
        </w:rPr>
        <w:t>6</w:t>
      </w:r>
      <w:r w:rsidR="00D639F9">
        <w:rPr>
          <w:color w:val="000000"/>
          <w:sz w:val="24"/>
          <w:szCs w:val="24"/>
        </w:rPr>
        <w:t>833</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F27ECD">
        <w:rPr>
          <w:sz w:val="24"/>
          <w:szCs w:val="24"/>
        </w:rPr>
        <w:t>na Novoborsku</w:t>
      </w:r>
      <w:r w:rsidR="00DA15E4" w:rsidRPr="00E36EDA">
        <w:rPr>
          <w:sz w:val="24"/>
          <w:szCs w:val="24"/>
        </w:rPr>
        <w:t xml:space="preserve"> -  komunikace č. III/</w:t>
      </w:r>
      <w:r w:rsidR="00EA27C8" w:rsidRPr="00E36EDA">
        <w:rPr>
          <w:sz w:val="24"/>
          <w:szCs w:val="24"/>
        </w:rPr>
        <w:t>2</w:t>
      </w:r>
      <w:r w:rsidR="00F27ECD">
        <w:rPr>
          <w:sz w:val="24"/>
          <w:szCs w:val="24"/>
        </w:rPr>
        <w:t>6</w:t>
      </w:r>
      <w:r w:rsidR="00D639F9">
        <w:rPr>
          <w:sz w:val="24"/>
          <w:szCs w:val="24"/>
        </w:rPr>
        <w:t>833</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r w:rsidR="00DA15E4" w:rsidRPr="00E36EDA">
        <w:rPr>
          <w:sz w:val="24"/>
        </w:rPr>
        <w:t>OPZP_22_1_3_01_000</w:t>
      </w:r>
      <w:r w:rsidR="00D639F9">
        <w:rPr>
          <w:sz w:val="24"/>
        </w:rPr>
        <w:t>123</w:t>
      </w:r>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 xml:space="preserve">SO2 - </w:t>
      </w:r>
      <w:r w:rsidRPr="00E56256">
        <w:rPr>
          <w:sz w:val="24"/>
        </w:rPr>
        <w:t>O</w:t>
      </w:r>
      <w:r w:rsidR="00A1612B" w:rsidRPr="00E56256">
        <w:rPr>
          <w:sz w:val="24"/>
        </w:rPr>
        <w:t xml:space="preserve">šetření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1CC93F4E"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FF54BF">
        <w:rPr>
          <w:sz w:val="24"/>
          <w:szCs w:val="24"/>
        </w:rPr>
        <w:t>833</w:t>
      </w:r>
      <w:r w:rsidR="00372F61">
        <w:rPr>
          <w:sz w:val="24"/>
          <w:szCs w:val="24"/>
        </w:rPr>
        <w:t xml:space="preserve"> v</w:t>
      </w:r>
      <w:r w:rsidR="002D6ACD">
        <w:rPr>
          <w:sz w:val="24"/>
          <w:szCs w:val="24"/>
        </w:rPr>
        <w:t> </w:t>
      </w:r>
      <w:r w:rsidR="00372F61">
        <w:rPr>
          <w:sz w:val="24"/>
          <w:szCs w:val="24"/>
        </w:rPr>
        <w:t>úseku</w:t>
      </w:r>
      <w:r w:rsidR="002D6ACD">
        <w:rPr>
          <w:sz w:val="24"/>
          <w:szCs w:val="24"/>
        </w:rPr>
        <w:t xml:space="preserve"> </w:t>
      </w:r>
      <w:r w:rsidR="00FF54BF" w:rsidRPr="00FF54BF">
        <w:rPr>
          <w:sz w:val="24"/>
          <w:szCs w:val="24"/>
        </w:rPr>
        <w:t>Zahrádky (Šestidomí) – Srní u České Lípy</w:t>
      </w:r>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 xml:space="preserve">SO3 - </w:t>
      </w:r>
      <w:r w:rsidRPr="00E56256">
        <w:rPr>
          <w:sz w:val="24"/>
        </w:rPr>
        <w:t>V</w:t>
      </w:r>
      <w:r w:rsidR="00A1612B" w:rsidRPr="00E56256">
        <w:rPr>
          <w:sz w:val="24"/>
        </w:rPr>
        <w:t>ýsadb</w:t>
      </w:r>
      <w:r w:rsidR="002D13EA" w:rsidRPr="00E56256">
        <w:rPr>
          <w:sz w:val="24"/>
        </w:rPr>
        <w:t>a</w:t>
      </w:r>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2A7FCD26" w:rsidR="00650069" w:rsidRPr="00E56256" w:rsidRDefault="00E913E5" w:rsidP="00077B20">
      <w:pPr>
        <w:pStyle w:val="NADPISCENNETUC"/>
        <w:keepNext w:val="0"/>
        <w:keepLines w:val="0"/>
        <w:widowControl w:val="0"/>
        <w:numPr>
          <w:ilvl w:val="2"/>
          <w:numId w:val="7"/>
        </w:numPr>
        <w:spacing w:after="0" w:line="276" w:lineRule="auto"/>
        <w:jc w:val="both"/>
        <w:rPr>
          <w:sz w:val="24"/>
        </w:rPr>
      </w:pPr>
      <w:r w:rsidRPr="00E56256">
        <w:rPr>
          <w:sz w:val="24"/>
          <w:szCs w:val="24"/>
        </w:rPr>
        <w:t xml:space="preserve">silnice č. </w:t>
      </w:r>
      <w:r w:rsidR="00372F61" w:rsidRPr="00E56256">
        <w:rPr>
          <w:sz w:val="24"/>
          <w:szCs w:val="24"/>
        </w:rPr>
        <w:t>III/26</w:t>
      </w:r>
      <w:r w:rsidR="00FF54BF">
        <w:rPr>
          <w:sz w:val="24"/>
          <w:szCs w:val="24"/>
        </w:rPr>
        <w:t>833</w:t>
      </w:r>
      <w:r w:rsidR="00372F61">
        <w:rPr>
          <w:sz w:val="24"/>
          <w:szCs w:val="24"/>
        </w:rPr>
        <w:t xml:space="preserve"> </w:t>
      </w:r>
      <w:r w:rsidR="00622E59" w:rsidRPr="00622E59">
        <w:rPr>
          <w:sz w:val="24"/>
          <w:szCs w:val="24"/>
        </w:rPr>
        <w:t>v úseku</w:t>
      </w:r>
      <w:r w:rsidR="00FF54BF" w:rsidRPr="00FF54BF">
        <w:t xml:space="preserve"> </w:t>
      </w:r>
      <w:r w:rsidR="00FF54BF" w:rsidRPr="00FF54BF">
        <w:rPr>
          <w:sz w:val="24"/>
          <w:szCs w:val="24"/>
        </w:rPr>
        <w:t>Zahrádky (Šestidomí) – Srní u České Lípy</w:t>
      </w:r>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r w:rsidR="00ED3F7C" w:rsidRPr="00E56256">
        <w:rPr>
          <w:sz w:val="24"/>
        </w:rPr>
        <w:t>SO5 – Povýsadbov</w:t>
      </w:r>
      <w:r w:rsidR="002D13EA" w:rsidRPr="00E56256">
        <w:rPr>
          <w:sz w:val="24"/>
        </w:rPr>
        <w:t xml:space="preserve">á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4BBE3882" w:rsidR="001579C9" w:rsidRPr="00E56256" w:rsidRDefault="001579C9" w:rsidP="00077B20">
      <w:pPr>
        <w:pStyle w:val="NADPISCENNETUC"/>
        <w:keepNext w:val="0"/>
        <w:keepLines w:val="0"/>
        <w:widowControl w:val="0"/>
        <w:numPr>
          <w:ilvl w:val="2"/>
          <w:numId w:val="7"/>
        </w:numPr>
        <w:spacing w:after="0" w:line="276" w:lineRule="auto"/>
        <w:jc w:val="both"/>
        <w:rPr>
          <w:sz w:val="24"/>
        </w:rPr>
      </w:pPr>
      <w:r w:rsidRPr="00E56256">
        <w:rPr>
          <w:sz w:val="24"/>
        </w:rPr>
        <w:t xml:space="preserve">silnice č. </w:t>
      </w:r>
      <w:r w:rsidR="00372F61" w:rsidRPr="00E56256">
        <w:rPr>
          <w:sz w:val="24"/>
          <w:szCs w:val="24"/>
        </w:rPr>
        <w:t>III/26</w:t>
      </w:r>
      <w:r w:rsidR="00FF54BF">
        <w:rPr>
          <w:sz w:val="24"/>
          <w:szCs w:val="24"/>
        </w:rPr>
        <w:t>833</w:t>
      </w:r>
      <w:r w:rsidR="00372F61">
        <w:rPr>
          <w:sz w:val="24"/>
          <w:szCs w:val="24"/>
        </w:rPr>
        <w:t xml:space="preserve"> </w:t>
      </w:r>
      <w:r w:rsidR="00622E59" w:rsidRPr="00622E59">
        <w:rPr>
          <w:sz w:val="24"/>
          <w:szCs w:val="24"/>
        </w:rPr>
        <w:t xml:space="preserve">v úseku </w:t>
      </w:r>
      <w:r w:rsidR="00FF54BF" w:rsidRPr="00FF54BF">
        <w:rPr>
          <w:sz w:val="24"/>
          <w:szCs w:val="24"/>
        </w:rPr>
        <w:t>Zahrádky (Šestidomí) – Srní u České Lípy</w:t>
      </w:r>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r w:rsidR="00B6618E" w:rsidRPr="0061597C">
        <w:rPr>
          <w:sz w:val="24"/>
        </w:rPr>
        <w:t xml:space="preserve">ARR </w:t>
      </w:r>
      <w:r w:rsidR="008302F6">
        <w:rPr>
          <w:sz w:val="24"/>
        </w:rPr>
        <w:t>- A</w:t>
      </w:r>
      <w:r w:rsidR="00B6618E" w:rsidRPr="0061597C">
        <w:rPr>
          <w:sz w:val="24"/>
        </w:rPr>
        <w:t>gentura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r w:rsidR="00FB2A07">
        <w:rPr>
          <w:sz w:val="24"/>
        </w:rPr>
        <w:t>povýsadbové</w:t>
      </w:r>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r w:rsidR="00530BAC">
        <w:rPr>
          <w:sz w:val="24"/>
        </w:rPr>
        <w:t>kůlování,</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r w:rsidR="00ED3F7C" w:rsidRPr="0061597C">
        <w:rPr>
          <w:sz w:val="24"/>
        </w:rPr>
        <w:t xml:space="preserve">povýsadbové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povýsadbová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lastRenderedPageBreak/>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47488A8A" w:rsidR="00C20B8A" w:rsidRPr="00741DDD"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31.10.2026</w:t>
      </w:r>
      <w:r w:rsidR="00261528">
        <w:t>.</w:t>
      </w:r>
    </w:p>
    <w:p w14:paraId="71C1E7FD" w14:textId="6B4C6A90"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31.10.2029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Povýsadbové péče po </w:t>
      </w:r>
      <w:r w:rsidR="00CB677F" w:rsidRPr="00741DDD">
        <w:rPr>
          <w:sz w:val="24"/>
          <w:szCs w:val="24"/>
        </w:rPr>
        <w:t xml:space="preserve">termínu </w:t>
      </w:r>
      <w:r w:rsidR="00A85F26" w:rsidRPr="00741DDD">
        <w:rPr>
          <w:sz w:val="24"/>
          <w:szCs w:val="24"/>
        </w:rPr>
        <w:t>31.10.2029</w:t>
      </w:r>
      <w:r w:rsidR="00FB5FBA" w:rsidRPr="00741DDD">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r w:rsidR="00885428">
        <w:rPr>
          <w:sz w:val="24"/>
          <w:szCs w:val="24"/>
        </w:rPr>
        <w:t xml:space="preserve">povýsadbové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převzetí </w:t>
      </w:r>
      <w:r w:rsidRPr="0061597C">
        <w:rPr>
          <w:sz w:val="24"/>
          <w:szCs w:val="24"/>
        </w:rPr>
        <w:t xml:space="preserve"> díl</w:t>
      </w:r>
      <w:r w:rsidR="00E8201B">
        <w:rPr>
          <w:sz w:val="24"/>
          <w:szCs w:val="24"/>
        </w:rPr>
        <w:t>a</w:t>
      </w:r>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r w:rsidR="00DE2762" w:rsidRPr="0061597C">
        <w:rPr>
          <w:sz w:val="24"/>
          <w:szCs w:val="24"/>
        </w:rPr>
        <w:t xml:space="preserve">povýsadbové </w:t>
      </w:r>
      <w:r w:rsidRPr="0061597C">
        <w:rPr>
          <w:sz w:val="24"/>
          <w:szCs w:val="24"/>
        </w:rPr>
        <w:t xml:space="preserve">péče) běží </w:t>
      </w:r>
      <w:r w:rsidR="004246E9" w:rsidRPr="0061597C">
        <w:rPr>
          <w:sz w:val="24"/>
          <w:szCs w:val="24"/>
        </w:rPr>
        <w:t>tří</w:t>
      </w:r>
      <w:r w:rsidRPr="0061597C">
        <w:rPr>
          <w:sz w:val="24"/>
          <w:szCs w:val="24"/>
        </w:rPr>
        <w:t xml:space="preserve">letá záruční </w:t>
      </w:r>
      <w:r w:rsidRPr="0061597C">
        <w:rPr>
          <w:sz w:val="24"/>
          <w:szCs w:val="24"/>
        </w:rPr>
        <w:lastRenderedPageBreak/>
        <w:t>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r w:rsidR="00E8201B">
        <w:rPr>
          <w:sz w:val="24"/>
          <w:szCs w:val="24"/>
        </w:rPr>
        <w:t>Povýsadbová</w:t>
      </w:r>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r w:rsidR="00E8201B">
        <w:rPr>
          <w:sz w:val="24"/>
          <w:szCs w:val="24"/>
        </w:rPr>
        <w:t>p</w:t>
      </w:r>
      <w:r w:rsidR="00697833" w:rsidRPr="0061597C">
        <w:rPr>
          <w:sz w:val="24"/>
          <w:szCs w:val="24"/>
        </w:rPr>
        <w:t>ovýsadbovou</w:t>
      </w:r>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r w:rsidR="00E8201B">
        <w:rPr>
          <w:sz w:val="24"/>
          <w:szCs w:val="24"/>
        </w:rPr>
        <w:t>p</w:t>
      </w:r>
      <w:r w:rsidR="00697833" w:rsidRPr="0061597C">
        <w:rPr>
          <w:sz w:val="24"/>
          <w:szCs w:val="24"/>
        </w:rPr>
        <w:t xml:space="preserve">ovýsadbové </w:t>
      </w:r>
      <w:r w:rsidR="00B87F84" w:rsidRPr="0061597C">
        <w:rPr>
          <w:sz w:val="24"/>
          <w:szCs w:val="24"/>
        </w:rPr>
        <w:t>péče (tj.</w:t>
      </w:r>
      <w:r w:rsidR="00957E13">
        <w:rPr>
          <w:sz w:val="24"/>
          <w:szCs w:val="24"/>
        </w:rPr>
        <w:t xml:space="preserve"> </w:t>
      </w:r>
      <w:r w:rsidR="00B87F84" w:rsidRPr="0061597C">
        <w:rPr>
          <w:sz w:val="24"/>
          <w:szCs w:val="24"/>
        </w:rPr>
        <w:t>SO5</w:t>
      </w:r>
      <w:r w:rsidR="00E8201B">
        <w:rPr>
          <w:sz w:val="24"/>
          <w:szCs w:val="24"/>
        </w:rPr>
        <w:t>-Povýsadbová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w:t>
      </w:r>
      <w:r w:rsidRPr="0061597C">
        <w:rPr>
          <w:sz w:val="24"/>
        </w:rPr>
        <w:lastRenderedPageBreak/>
        <w:t xml:space="preserve">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arboristiky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 xml:space="preserve">dodavatelů je uveden </w:t>
      </w:r>
      <w:r w:rsidR="002B7835" w:rsidRPr="0061597C">
        <w:rPr>
          <w:color w:val="000000"/>
          <w:sz w:val="24"/>
        </w:rPr>
        <w:lastRenderedPageBreak/>
        <w:t>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Cena bez DPH:</w:t>
      </w:r>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DPH 21 %: </w:t>
      </w:r>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DPH: </w:t>
      </w:r>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r w:rsidRPr="0061597C">
        <w:rPr>
          <w:szCs w:val="24"/>
          <w:lang w:val="cs-CZ"/>
        </w:rPr>
        <w:t xml:space="preserve">díla </w:t>
      </w:r>
      <w:r w:rsidR="00697833" w:rsidRPr="0061597C">
        <w:rPr>
          <w:szCs w:val="24"/>
          <w:lang w:val="cs-CZ"/>
        </w:rPr>
        <w:t xml:space="preserve"> </w:t>
      </w:r>
      <w:r w:rsidR="002806C7">
        <w:rPr>
          <w:szCs w:val="24"/>
          <w:lang w:val="cs-CZ"/>
        </w:rPr>
        <w:t>SO5-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r w:rsidR="002806C7">
        <w:rPr>
          <w:szCs w:val="24"/>
          <w:lang w:val="cs-CZ"/>
        </w:rPr>
        <w:t xml:space="preserve">Povýsadbové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sídlem: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r w:rsidRPr="0061597C">
        <w:rPr>
          <w:sz w:val="24"/>
        </w:rPr>
        <w:t>IČ</w:t>
      </w:r>
      <w:r w:rsidR="005A79EA" w:rsidRPr="0061597C">
        <w:rPr>
          <w:sz w:val="24"/>
        </w:rPr>
        <w:t>O</w:t>
      </w:r>
      <w:r w:rsidRPr="0061597C">
        <w:rPr>
          <w:sz w:val="24"/>
        </w:rPr>
        <w:t xml:space="preserve">:                          </w:t>
      </w:r>
      <w:r w:rsidRPr="0061597C">
        <w:rPr>
          <w:sz w:val="24"/>
        </w:rPr>
        <w:tab/>
      </w:r>
      <w:r w:rsidR="00A66562" w:rsidRPr="0061597C">
        <w:rPr>
          <w:sz w:val="24"/>
          <w:szCs w:val="24"/>
        </w:rPr>
        <w:t>70946078</w:t>
      </w:r>
    </w:p>
    <w:p w14:paraId="65727F38"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61597C">
        <w:t xml:space="preserve">DIČ:                       </w:t>
      </w:r>
      <w:r w:rsidRPr="0061597C">
        <w:tab/>
      </w:r>
      <w:r w:rsidR="00A66562" w:rsidRPr="0061597C">
        <w:t>CZ</w:t>
      </w:r>
      <w:r w:rsidR="00A66562" w:rsidRPr="0061597C">
        <w:rPr>
          <w:szCs w:val="24"/>
        </w:rPr>
        <w:t>70946078</w:t>
      </w:r>
    </w:p>
    <w:p w14:paraId="0B6CF2D7" w14:textId="2C9EA6BF"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r w:rsidR="004F42D9" w:rsidRPr="00872D0B">
          <w:rPr>
            <w:rStyle w:val="Hypertextovodkaz"/>
            <w:color w:val="auto"/>
            <w:szCs w:val="24"/>
            <w:u w:val="none"/>
          </w:rPr>
          <w:t>blanka.simunkova@ksslk.cz</w:t>
        </w:r>
      </w:hyperlink>
      <w:r w:rsidRPr="004F42D9">
        <w:rPr>
          <w:szCs w:val="24"/>
        </w:rPr>
        <w:t>;</w:t>
      </w:r>
      <w:r w:rsidR="002A68E8" w:rsidRPr="002A68E8">
        <w:rPr>
          <w:szCs w:val="24"/>
        </w:rPr>
        <w:t xml:space="preserve"> </w:t>
      </w:r>
      <w:r w:rsidRPr="002A68E8">
        <w:rPr>
          <w:szCs w:val="24"/>
        </w:rPr>
        <w:t xml:space="preserve"> </w:t>
      </w:r>
      <w:hyperlink r:id="rId10" w:history="1">
        <w:r w:rsidR="002A68E8" w:rsidRPr="00D173E4">
          <w:rPr>
            <w:rStyle w:val="Hypertextovodkaz"/>
            <w:color w:val="auto"/>
            <w:szCs w:val="24"/>
            <w:u w:val="none"/>
          </w:rPr>
          <w:t>faktury@ksslk.cz</w:t>
        </w:r>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id datové schránky: </w:t>
      </w:r>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D3D760E"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r w:rsidR="00585C7F">
        <w:rPr>
          <w:sz w:val="24"/>
        </w:rPr>
        <w:t>P</w:t>
      </w:r>
      <w:r w:rsidR="00881357" w:rsidRPr="0061597C">
        <w:rPr>
          <w:sz w:val="24"/>
        </w:rPr>
        <w:t xml:space="preserve">ovýsadbové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w:t>
      </w:r>
      <w:r w:rsidR="00EB4A5B" w:rsidRPr="0061597C">
        <w:rPr>
          <w:sz w:val="24"/>
          <w:szCs w:val="24"/>
        </w:rPr>
        <w:lastRenderedPageBreak/>
        <w:t xml:space="preserve">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r w:rsidR="00415F66" w:rsidRPr="0005358F">
          <w:rPr>
            <w:rStyle w:val="Hypertextovodkaz"/>
            <w:color w:val="auto"/>
            <w:sz w:val="24"/>
            <w:szCs w:val="24"/>
            <w:u w:val="none"/>
          </w:rPr>
          <w:t>blanka.simunkova@ksslk.cz</w:t>
        </w:r>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r w:rsidR="00881357" w:rsidRPr="0005358F">
          <w:rPr>
            <w:rStyle w:val="Hypertextovodkaz"/>
            <w:color w:val="auto"/>
            <w:sz w:val="24"/>
            <w:szCs w:val="24"/>
            <w:u w:val="none"/>
          </w:rPr>
          <w:t>m.portlova@arr-nisa.cz</w:t>
        </w:r>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w:t>
      </w:r>
      <w:r w:rsidR="004469F1" w:rsidRPr="0061597C">
        <w:rPr>
          <w:sz w:val="24"/>
          <w:szCs w:val="24"/>
        </w:rPr>
        <w:lastRenderedPageBreak/>
        <w:t xml:space="preserve">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lastRenderedPageBreak/>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00487C6F" w14:textId="77777777" w:rsidR="00500BC7" w:rsidRPr="0061597C" w:rsidRDefault="00500BC7"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0E38"/>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4ACD"/>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019"/>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4C1"/>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1F6FF0"/>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6ACD"/>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16C5"/>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4E69"/>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BC7"/>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3067"/>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096"/>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611"/>
    <w:rsid w:val="0061094B"/>
    <w:rsid w:val="00610B9A"/>
    <w:rsid w:val="006111E1"/>
    <w:rsid w:val="006128F4"/>
    <w:rsid w:val="00614D30"/>
    <w:rsid w:val="0061597C"/>
    <w:rsid w:val="00616C75"/>
    <w:rsid w:val="00620985"/>
    <w:rsid w:val="00621FB1"/>
    <w:rsid w:val="00622E59"/>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2D0B"/>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A7779"/>
    <w:rsid w:val="00AB0507"/>
    <w:rsid w:val="00AB06AA"/>
    <w:rsid w:val="00AB14D3"/>
    <w:rsid w:val="00AB17D2"/>
    <w:rsid w:val="00AB21DE"/>
    <w:rsid w:val="00AB3353"/>
    <w:rsid w:val="00AB34A4"/>
    <w:rsid w:val="00AB391A"/>
    <w:rsid w:val="00AB3A9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28DA"/>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39F9"/>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B7C85"/>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D1B"/>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4BF"/>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13</Pages>
  <Words>4390</Words>
  <Characters>26067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30397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85</cp:revision>
  <cp:lastPrinted>2019-11-28T09:19:00Z</cp:lastPrinted>
  <dcterms:created xsi:type="dcterms:W3CDTF">2025-07-10T15:00:00Z</dcterms:created>
  <dcterms:modified xsi:type="dcterms:W3CDTF">2026-05-18T12:47:00Z</dcterms:modified>
</cp:coreProperties>
</file>