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862F4">
        <w:rPr>
          <w:rFonts w:ascii="Times New Roman" w:hAnsi="Times New Roman" w:cs="Times New Roman"/>
          <w:b w:val="0"/>
          <w:sz w:val="22"/>
          <w:szCs w:val="22"/>
        </w:rPr>
        <w:t>22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Požadavky na elektronickou komunikaci VZ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>, který zaručí úplnost a obsah všech dokumentů a zaručí ochranu důvěrných a osobních údajů v těchto do</w:t>
      </w:r>
      <w:bookmarkStart w:id="0" w:name="_GoBack"/>
      <w:bookmarkEnd w:id="0"/>
      <w:r w:rsidRPr="00DA5F20">
        <w:rPr>
          <w:sz w:val="22"/>
          <w:szCs w:val="22"/>
        </w:rPr>
        <w:t xml:space="preserve">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862F4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04CF8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7671"/>
    <w:rsid w:val="008C44E7"/>
    <w:rsid w:val="00936F3A"/>
    <w:rsid w:val="009A5655"/>
    <w:rsid w:val="009E50B2"/>
    <w:rsid w:val="00A00CAF"/>
    <w:rsid w:val="00A11DEB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BB2D69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FC4CE2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FOhfVrk+TfVLidI6IgQlDDJeFyUmSWq2hXaKK/N7xnI=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h8zXmPeOrzN/x6KnnC1+enQsQj7tQBExhDlMTKq/lzo=</DigestValue>
    </Reference>
  </SignedInfo>
  <SignatureValue>ncTWENK0J+E8zRPJqJ1oZeX95jGnhjR/W08STpG6NfZRdju6MffZsOyDgouQp1I6hc+bG2pUDFCq
SgAOhVBcdcnTY1A5bTvljLNS9eYTPS+vAS+2D3SDA0lpykt1emLis7r8lbw6yM2gVz3APGdaLXQj
QqU5QM6haBzGUu2oMHdYjgYxpmaALn7llamcjuvYPyrO6AwhdVELXUavWcXFvhGPtwOTV2Nfggdp
Htx+bTD/MC3OImxGTg7GlqZN8RRHbsZI6OIPh7PKMNeEvh1CdvQIazPvxtJOaK3RFkaEPq0bnNbQ
oXAIfDxfPSImwXfxfSPRJY1RQ6SnoihIzzaDJw==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DX0ASeHYmNC6uyYfeDMeRzDb5uWgWtlYDYB0NRMGPDQ=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5iZGhio8a6wXco+lYMWe4MsidAuyjU/ykSDM7H2iKcU=</DigestValue>
      </Reference>
      <Reference URI="/word/endnotes.xml?ContentType=application/vnd.openxmlformats-officedocument.wordprocessingml.endnotes+xml">
        <DigestMethod Algorithm="http://www.w3.org/2001/04/xmlenc#sha256"/>
        <DigestValue>SXrWG71e2y5s849iczfEknZZD8iTRk9eJa+oNFVh+bY=</DigestValue>
      </Reference>
      <Reference URI="/word/fontTable.xml?ContentType=application/vnd.openxmlformats-officedocument.wordprocessingml.fontTable+xml">
        <DigestMethod Algorithm="http://www.w3.org/2001/04/xmlenc#sha256"/>
        <DigestValue>2NG9Y6o2Qopu+SiweZtdk4zn5Mm5OnYjN3BKhZ1z/M8=</DigestValue>
      </Reference>
      <Reference URI="/word/footnotes.xml?ContentType=application/vnd.openxmlformats-officedocument.wordprocessingml.footnotes+xml">
        <DigestMethod Algorithm="http://www.w3.org/2001/04/xmlenc#sha256"/>
        <DigestValue>A0sPbajKauFQvl2AfnxrfHQ/8ZYrZZJawqidZQzp8ZQ=</DigestValue>
      </Reference>
      <Reference URI="/word/header1.xml?ContentType=application/vnd.openxmlformats-officedocument.wordprocessingml.header+xml">
        <DigestMethod Algorithm="http://www.w3.org/2001/04/xmlenc#sha256"/>
        <DigestValue>5v2j5IMd7jZCyZHbzu/ngZhSgQXlNDPW6DU6b9LrDXk=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settings.xml?ContentType=application/vnd.openxmlformats-officedocument.wordprocessingml.settings+xml">
        <DigestMethod Algorithm="http://www.w3.org/2001/04/xmlenc#sha256"/>
        <DigestValue>PEz1FUyiVOjZH9vyjKxaRQ03ZC7x/p/mkApNwuKwdCI=</DigestValue>
      </Reference>
      <Reference URI="/word/styles.xml?ContentType=application/vnd.openxmlformats-officedocument.wordprocessingml.styles+xml">
        <DigestMethod Algorithm="http://www.w3.org/2001/04/xmlenc#sha256"/>
        <DigestValue>xq0AwryPA/x/1DrVgzn4tl2OkvfeqvmMnBmTsOdxnGs=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X+YFfQXt7ONdueIdKOwpefdVN1KtIB+I53HBJCzXU/w=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2019-02-05T13:14:33Z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2019-02-05T13:14:33Z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1722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13</cp:revision>
  <dcterms:created xsi:type="dcterms:W3CDTF">2018-08-23T21:07:00Z</dcterms:created>
  <dcterms:modified xsi:type="dcterms:W3CDTF">2019-01-17T15:00:00Z</dcterms:modified>
</cp:coreProperties>
</file>