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24" w:rsidRDefault="00603E24" w:rsidP="00A630AA">
      <w:pPr>
        <w:spacing w:after="0"/>
      </w:pPr>
    </w:p>
    <w:p w:rsidR="00A630AA" w:rsidRDefault="00A630AA" w:rsidP="00A630AA">
      <w:pPr>
        <w:spacing w:after="0"/>
        <w:rPr>
          <w:rFonts w:ascii="Garamond" w:hAnsi="Garamond"/>
          <w:b/>
          <w:szCs w:val="22"/>
        </w:rPr>
      </w:pPr>
      <w:r>
        <w:t xml:space="preserve">Smlouva: </w:t>
      </w:r>
      <w:r w:rsidRPr="001C0ADF">
        <w:rPr>
          <w:rFonts w:ascii="Garamond" w:hAnsi="Garamond"/>
          <w:szCs w:val="22"/>
        </w:rPr>
        <w:t xml:space="preserve">Dodávka </w:t>
      </w:r>
      <w:r w:rsidRPr="001C0ADF">
        <w:rPr>
          <w:rFonts w:ascii="Garamond" w:hAnsi="Garamond" w:cs="Calibri"/>
        </w:rPr>
        <w:t>dvoučlánkových</w:t>
      </w:r>
      <w:r w:rsidRPr="001C0ADF">
        <w:rPr>
          <w:rFonts w:ascii="Garamond" w:hAnsi="Garamond"/>
          <w:szCs w:val="22"/>
        </w:rPr>
        <w:t xml:space="preserve"> autobusů na CNG pohon</w:t>
      </w:r>
    </w:p>
    <w:p w:rsidR="00A630AA" w:rsidRPr="001C0ADF" w:rsidRDefault="00A630AA" w:rsidP="00A630AA">
      <w:pPr>
        <w:spacing w:after="0"/>
        <w:rPr>
          <w:rFonts w:ascii="Garamond" w:hAnsi="Garamond"/>
          <w:b/>
          <w:szCs w:val="22"/>
        </w:rPr>
      </w:pPr>
      <w:r>
        <w:t>Číslo smlouvy kupujícího: DOD2017xxxx</w:t>
      </w:r>
    </w:p>
    <w:p w:rsidR="00A630AA" w:rsidRDefault="00A630AA" w:rsidP="00A630AA">
      <w:pPr>
        <w:spacing w:after="0"/>
      </w:pPr>
      <w:r>
        <w:t>Číslo smlouvy prodávajícího:</w:t>
      </w:r>
    </w:p>
    <w:p w:rsidR="0087779A" w:rsidRPr="0087779A" w:rsidRDefault="00FB01AD" w:rsidP="00CE1472">
      <w:pPr>
        <w:pStyle w:val="Nadpis1"/>
        <w:numPr>
          <w:ilvl w:val="0"/>
          <w:numId w:val="0"/>
        </w:numPr>
        <w:spacing w:before="480" w:after="240"/>
        <w:rPr>
          <w:bCs/>
          <w:i/>
        </w:rPr>
      </w:pPr>
      <w:r>
        <w:t xml:space="preserve">Příloha č. </w:t>
      </w:r>
      <w:r w:rsidR="00C62649">
        <w:t>1</w:t>
      </w:r>
      <w:r w:rsidR="00CE1472">
        <w:t>0 SML</w:t>
      </w:r>
      <w:r>
        <w:t xml:space="preserve"> 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BB4F9B">
        <w:rPr>
          <w:sz w:val="24"/>
          <w:szCs w:val="24"/>
        </w:rPr>
        <w:t xml:space="preserve"> </w:t>
      </w:r>
      <w:r w:rsidR="000F3276">
        <w:rPr>
          <w:sz w:val="24"/>
          <w:szCs w:val="24"/>
        </w:rPr>
        <w:t>zhotovitel</w:t>
      </w:r>
      <w:r w:rsidR="00BB4F9B">
        <w:rPr>
          <w:sz w:val="24"/>
          <w:szCs w:val="24"/>
        </w:rPr>
        <w:t>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F3276">
        <w:rPr>
          <w:sz w:val="24"/>
          <w:szCs w:val="24"/>
        </w:rPr>
        <w:t>zhotovitele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AC1E8E">
        <w:rPr>
          <w:color w:val="000000"/>
          <w:szCs w:val="24"/>
        </w:rPr>
        <w:t>zhotovitelem</w:t>
      </w:r>
      <w:r w:rsidR="00BF6095">
        <w:rPr>
          <w:color w:val="000000"/>
          <w:szCs w:val="24"/>
        </w:rPr>
        <w:t>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="00BB4F9B">
        <w:rPr>
          <w:color w:val="000000"/>
          <w:sz w:val="24"/>
          <w:szCs w:val="24"/>
        </w:rPr>
        <w:t xml:space="preserve"> </w:t>
      </w:r>
      <w:r w:rsidR="00AC1E8E">
        <w:rPr>
          <w:color w:val="000000"/>
          <w:sz w:val="24"/>
          <w:szCs w:val="24"/>
        </w:rPr>
        <w:t>zhotovitele</w:t>
      </w:r>
      <w:r w:rsidR="00BF6095">
        <w:rPr>
          <w:color w:val="000000"/>
          <w:sz w:val="24"/>
          <w:szCs w:val="24"/>
        </w:rPr>
        <w:t>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AC1E8E">
        <w:rPr>
          <w:color w:val="000000"/>
          <w:szCs w:val="24"/>
        </w:rPr>
        <w:t xml:space="preserve">zhotovitele </w:t>
      </w:r>
      <w:r w:rsidRPr="0056468A">
        <w:rPr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lastRenderedPageBreak/>
        <w:t xml:space="preserve">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 xml:space="preserve">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AC1E8E">
        <w:rPr>
          <w:color w:val="000000"/>
          <w:sz w:val="24"/>
          <w:szCs w:val="24"/>
        </w:rPr>
        <w:t xml:space="preserve">Zhotovitel </w:t>
      </w:r>
      <w:r w:rsidRPr="0056468A">
        <w:rPr>
          <w:color w:val="000000"/>
          <w:sz w:val="24"/>
          <w:szCs w:val="24"/>
        </w:rPr>
        <w:t>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AC1E8E">
        <w:rPr>
          <w:sz w:val="24"/>
        </w:rPr>
        <w:t xml:space="preserve">zhotoviteli </w:t>
      </w:r>
      <w:r w:rsidRPr="0056468A">
        <w:rPr>
          <w:sz w:val="24"/>
        </w:rPr>
        <w:t>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87779A" w:rsidP="0087779A">
      <w:pPr>
        <w:rPr>
          <w:color w:val="000000"/>
          <w:sz w:val="24"/>
          <w:szCs w:val="24"/>
        </w:rPr>
      </w:pPr>
    </w:p>
    <w:p w:rsidR="003920E2" w:rsidRPr="0056468A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3920E2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 </w:t>
      </w:r>
      <w:r w:rsidR="00A630AA">
        <w:rPr>
          <w:color w:val="000000"/>
          <w:sz w:val="24"/>
          <w:szCs w:val="24"/>
        </w:rPr>
        <w:t>K</w:t>
      </w:r>
      <w:r w:rsidR="006B19E2">
        <w:rPr>
          <w:color w:val="000000"/>
          <w:sz w:val="24"/>
          <w:szCs w:val="24"/>
        </w:rPr>
        <w:t>upujícího</w:t>
      </w:r>
      <w:r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Za </w:t>
      </w:r>
      <w:r w:rsidR="00A630AA">
        <w:rPr>
          <w:color w:val="000000"/>
          <w:sz w:val="24"/>
          <w:szCs w:val="24"/>
        </w:rPr>
        <w:t>P</w:t>
      </w:r>
      <w:r w:rsidR="006B19E2">
        <w:rPr>
          <w:color w:val="000000"/>
          <w:sz w:val="24"/>
          <w:szCs w:val="24"/>
        </w:rPr>
        <w:t>rodávajícího</w:t>
      </w:r>
      <w:r>
        <w:rPr>
          <w:color w:val="000000"/>
          <w:sz w:val="24"/>
          <w:szCs w:val="24"/>
        </w:rPr>
        <w:t>:</w:t>
      </w:r>
    </w:p>
    <w:p w:rsidR="003920E2" w:rsidRDefault="003920E2" w:rsidP="003920E2">
      <w:pPr>
        <w:tabs>
          <w:tab w:val="left" w:pos="5580"/>
        </w:tabs>
        <w:spacing w:after="0"/>
        <w:ind w:left="426"/>
      </w:pPr>
      <w:r>
        <w:rPr>
          <w:sz w:val="24"/>
          <w:szCs w:val="24"/>
        </w:rPr>
        <w:t xml:space="preserve">V </w:t>
      </w:r>
      <w:r w:rsidR="00DA0F1D">
        <w:rPr>
          <w:sz w:val="24"/>
          <w:szCs w:val="24"/>
        </w:rPr>
        <w:t xml:space="preserve">Ostravě </w:t>
      </w:r>
      <w:r>
        <w:rPr>
          <w:sz w:val="24"/>
          <w:szCs w:val="24"/>
        </w:rPr>
        <w:t>dne</w:t>
      </w:r>
      <w:r w:rsidR="00FE683A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 </w:t>
      </w:r>
      <w:r w:rsidR="00DA0F1D">
        <w:rPr>
          <w:sz w:val="24"/>
          <w:szCs w:val="24"/>
        </w:rPr>
        <w:t>…………</w:t>
      </w:r>
      <w:proofErr w:type="gramStart"/>
      <w:r w:rsidR="00DA0F1D">
        <w:rPr>
          <w:sz w:val="24"/>
          <w:szCs w:val="24"/>
        </w:rPr>
        <w:t>…..</w:t>
      </w:r>
      <w:r>
        <w:rPr>
          <w:sz w:val="24"/>
          <w:szCs w:val="24"/>
        </w:rPr>
        <w:t xml:space="preserve"> dne</w:t>
      </w:r>
      <w:proofErr w:type="gramEnd"/>
      <w:r w:rsidR="00FE683A">
        <w:rPr>
          <w:sz w:val="24"/>
          <w:szCs w:val="24"/>
        </w:rPr>
        <w:t>:</w:t>
      </w: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3920E2" w:rsidRDefault="003920E2" w:rsidP="003920E2">
      <w:pPr>
        <w:pStyle w:val="Zkladntext"/>
        <w:tabs>
          <w:tab w:val="left" w:pos="5580"/>
        </w:tabs>
        <w:ind w:left="426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 w:rsidR="00FE683A">
        <w:rPr>
          <w:color w:val="000000"/>
          <w:szCs w:val="24"/>
        </w:rPr>
        <w:tab/>
      </w:r>
      <w:r>
        <w:rPr>
          <w:color w:val="000000"/>
          <w:szCs w:val="24"/>
        </w:rPr>
        <w:t>………………………………….</w:t>
      </w:r>
    </w:p>
    <w:p w:rsidR="003920E2" w:rsidRDefault="00FE683A" w:rsidP="006519E7">
      <w:pPr>
        <w:pStyle w:val="Zkladntext"/>
        <w:tabs>
          <w:tab w:val="left" w:pos="567"/>
        </w:tabs>
        <w:spacing w:before="0"/>
        <w:ind w:left="426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756163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sectPr w:rsidR="000C5B9D" w:rsidRPr="0056468A" w:rsidSect="00603E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376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792" w:rsidRDefault="00362792" w:rsidP="00360830">
      <w:r>
        <w:separator/>
      </w:r>
    </w:p>
  </w:endnote>
  <w:endnote w:type="continuationSeparator" w:id="0">
    <w:p w:rsidR="00362792" w:rsidRDefault="00362792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E266D4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87779A" w:rsidRPr="00F539F2">
              <w:t xml:space="preserve">strana </w:t>
            </w:r>
            <w:fldSimple w:instr="PAGE">
              <w:r w:rsidR="001626BB">
                <w:rPr>
                  <w:noProof/>
                </w:rPr>
                <w:t>2</w:t>
              </w:r>
            </w:fldSimple>
            <w:r w:rsidR="0087779A" w:rsidRPr="00F539F2">
              <w:t>/</w:t>
            </w:r>
            <w:fldSimple w:instr="NUMPAGES">
              <w:r w:rsidR="001626BB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E266D4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87779A" w:rsidRPr="001526C2">
              <w:t xml:space="preserve">strana </w:t>
            </w:r>
            <w:fldSimple w:instr="PAGE">
              <w:r w:rsidR="001626BB">
                <w:rPr>
                  <w:noProof/>
                </w:rPr>
                <w:t>1</w:t>
              </w:r>
            </w:fldSimple>
            <w:r w:rsidR="0087779A" w:rsidRPr="001526C2">
              <w:t>/</w:t>
            </w:r>
            <w:fldSimple w:instr="NUMPAGES">
              <w:r w:rsidR="001626BB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792" w:rsidRDefault="00362792" w:rsidP="00360830">
      <w:r>
        <w:separator/>
      </w:r>
    </w:p>
  </w:footnote>
  <w:footnote w:type="continuationSeparator" w:id="0">
    <w:p w:rsidR="00362792" w:rsidRDefault="00362792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741B12" w:rsidRDefault="00741B12" w:rsidP="00846A13">
    <w:pPr>
      <w:pStyle w:val="Zhlav"/>
      <w:jc w:val="left"/>
    </w:pPr>
  </w:p>
  <w:p w:rsidR="00741B12" w:rsidRDefault="00741B12" w:rsidP="00846A13">
    <w:pPr>
      <w:pStyle w:val="Zhlav"/>
      <w:jc w:val="left"/>
    </w:pPr>
  </w:p>
  <w:p w:rsidR="0087779A" w:rsidRDefault="00741B12" w:rsidP="00741B12">
    <w:pPr>
      <w:pStyle w:val="Zhlav"/>
      <w:tabs>
        <w:tab w:val="clear" w:pos="4536"/>
        <w:tab w:val="clear" w:pos="9072"/>
      </w:tabs>
      <w:jc w:val="center"/>
    </w:pPr>
    <w:r w:rsidRPr="00741B12">
      <w:rPr>
        <w:noProof/>
        <w:lang w:eastAsia="cs-CZ"/>
      </w:rPr>
      <w:drawing>
        <wp:inline distT="0" distB="0" distL="0" distR="0">
          <wp:extent cx="4873846" cy="771277"/>
          <wp:effectExtent l="19050" t="0" r="2954" b="0"/>
          <wp:docPr id="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7779A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24" w:rsidRDefault="0087779A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  <w:r w:rsidRPr="00F32367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647700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2367" w:rsidRPr="00F32367">
      <w:rPr>
        <w:rFonts w:ascii="Times New Roman" w:hAnsi="Times New Roman" w:cs="Times New Roman"/>
      </w:rPr>
      <w:t xml:space="preserve">Příloha </w:t>
    </w:r>
    <w:r w:rsidR="00F32367">
      <w:rPr>
        <w:rFonts w:ascii="Times New Roman" w:hAnsi="Times New Roman" w:cs="Times New Roman"/>
      </w:rPr>
      <w:t>č. 4 ZD</w:t>
    </w:r>
    <w:r w:rsidRPr="00F32367">
      <w:rPr>
        <w:rFonts w:ascii="Times New Roman" w:hAnsi="Times New Roman" w:cs="Times New Roman"/>
      </w:rPr>
      <w:t xml:space="preserve">                                  </w:t>
    </w: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87779A" w:rsidRPr="00F32367" w:rsidRDefault="00603E24" w:rsidP="00603E24">
    <w:pPr>
      <w:pStyle w:val="Zhlav"/>
      <w:tabs>
        <w:tab w:val="clear" w:pos="4536"/>
        <w:tab w:val="clear" w:pos="9072"/>
      </w:tabs>
      <w:spacing w:after="0"/>
      <w:jc w:val="center"/>
      <w:rPr>
        <w:rFonts w:ascii="Times New Roman" w:hAnsi="Times New Roman" w:cs="Times New Roman"/>
        <w:sz w:val="20"/>
        <w:szCs w:val="20"/>
      </w:rPr>
    </w:pPr>
    <w:r w:rsidRPr="00603E24">
      <w:rPr>
        <w:rFonts w:ascii="Times New Roman" w:hAnsi="Times New Roman" w:cs="Times New Roman"/>
        <w:noProof/>
        <w:lang w:eastAsia="cs-CZ"/>
      </w:rPr>
      <w:drawing>
        <wp:inline distT="0" distB="0" distL="0" distR="0">
          <wp:extent cx="4873846" cy="771277"/>
          <wp:effectExtent l="19050" t="0" r="2954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1435"/>
    <w:rsid w:val="00012348"/>
    <w:rsid w:val="00020CCD"/>
    <w:rsid w:val="0007345D"/>
    <w:rsid w:val="0007387A"/>
    <w:rsid w:val="000A59BF"/>
    <w:rsid w:val="000A71F4"/>
    <w:rsid w:val="000C4E61"/>
    <w:rsid w:val="000C5B9D"/>
    <w:rsid w:val="000C757F"/>
    <w:rsid w:val="000D25B9"/>
    <w:rsid w:val="000D61D6"/>
    <w:rsid w:val="000F3276"/>
    <w:rsid w:val="00110139"/>
    <w:rsid w:val="00133623"/>
    <w:rsid w:val="00145A19"/>
    <w:rsid w:val="001526C2"/>
    <w:rsid w:val="001626BB"/>
    <w:rsid w:val="00181A78"/>
    <w:rsid w:val="001918F1"/>
    <w:rsid w:val="001A45E7"/>
    <w:rsid w:val="001B3CDB"/>
    <w:rsid w:val="001E4DD0"/>
    <w:rsid w:val="001F4F7D"/>
    <w:rsid w:val="002058CE"/>
    <w:rsid w:val="0022495B"/>
    <w:rsid w:val="00230E86"/>
    <w:rsid w:val="00232D7D"/>
    <w:rsid w:val="00262270"/>
    <w:rsid w:val="002628F3"/>
    <w:rsid w:val="00271EB9"/>
    <w:rsid w:val="00276D8B"/>
    <w:rsid w:val="0029663E"/>
    <w:rsid w:val="002B2000"/>
    <w:rsid w:val="002B6295"/>
    <w:rsid w:val="002B73A0"/>
    <w:rsid w:val="002C08F2"/>
    <w:rsid w:val="002C3DE4"/>
    <w:rsid w:val="002C7CD8"/>
    <w:rsid w:val="003008B5"/>
    <w:rsid w:val="003078A2"/>
    <w:rsid w:val="003243C8"/>
    <w:rsid w:val="00331E95"/>
    <w:rsid w:val="00360830"/>
    <w:rsid w:val="00362792"/>
    <w:rsid w:val="00362826"/>
    <w:rsid w:val="00362FC3"/>
    <w:rsid w:val="003920E2"/>
    <w:rsid w:val="00393046"/>
    <w:rsid w:val="003B3D7A"/>
    <w:rsid w:val="003B5996"/>
    <w:rsid w:val="003B74C1"/>
    <w:rsid w:val="003C0EB6"/>
    <w:rsid w:val="003C55AE"/>
    <w:rsid w:val="003D02B6"/>
    <w:rsid w:val="003F2FA4"/>
    <w:rsid w:val="003F3B16"/>
    <w:rsid w:val="003F530B"/>
    <w:rsid w:val="00410B03"/>
    <w:rsid w:val="00450110"/>
    <w:rsid w:val="004661F2"/>
    <w:rsid w:val="004664A6"/>
    <w:rsid w:val="00497284"/>
    <w:rsid w:val="004A478E"/>
    <w:rsid w:val="004B2C8D"/>
    <w:rsid w:val="004D0094"/>
    <w:rsid w:val="004D3EF0"/>
    <w:rsid w:val="004E24FA"/>
    <w:rsid w:val="004E694D"/>
    <w:rsid w:val="004F5F64"/>
    <w:rsid w:val="00511A90"/>
    <w:rsid w:val="0051285C"/>
    <w:rsid w:val="00523F6F"/>
    <w:rsid w:val="005306E0"/>
    <w:rsid w:val="00531695"/>
    <w:rsid w:val="005429C7"/>
    <w:rsid w:val="005452F5"/>
    <w:rsid w:val="00555AAB"/>
    <w:rsid w:val="0056468A"/>
    <w:rsid w:val="005738FC"/>
    <w:rsid w:val="005A5FEA"/>
    <w:rsid w:val="005B1387"/>
    <w:rsid w:val="005F6293"/>
    <w:rsid w:val="005F709A"/>
    <w:rsid w:val="00603E24"/>
    <w:rsid w:val="00614136"/>
    <w:rsid w:val="006207E2"/>
    <w:rsid w:val="00634473"/>
    <w:rsid w:val="00644EA3"/>
    <w:rsid w:val="006519E7"/>
    <w:rsid w:val="0065709A"/>
    <w:rsid w:val="006732BA"/>
    <w:rsid w:val="0068199D"/>
    <w:rsid w:val="00695E4E"/>
    <w:rsid w:val="006B19E2"/>
    <w:rsid w:val="006C2972"/>
    <w:rsid w:val="007417BF"/>
    <w:rsid w:val="00741B12"/>
    <w:rsid w:val="00742C88"/>
    <w:rsid w:val="00743A5C"/>
    <w:rsid w:val="00756163"/>
    <w:rsid w:val="007B131A"/>
    <w:rsid w:val="007D0AC0"/>
    <w:rsid w:val="007D2F14"/>
    <w:rsid w:val="007D77CF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B7E94"/>
    <w:rsid w:val="008F0855"/>
    <w:rsid w:val="008F45C0"/>
    <w:rsid w:val="008F7F9C"/>
    <w:rsid w:val="009163F5"/>
    <w:rsid w:val="00932BB7"/>
    <w:rsid w:val="009426AD"/>
    <w:rsid w:val="00960D04"/>
    <w:rsid w:val="00962141"/>
    <w:rsid w:val="00966664"/>
    <w:rsid w:val="0098101F"/>
    <w:rsid w:val="009B7CF2"/>
    <w:rsid w:val="009D095C"/>
    <w:rsid w:val="009D1F9D"/>
    <w:rsid w:val="009E618D"/>
    <w:rsid w:val="009F49AE"/>
    <w:rsid w:val="00A042D1"/>
    <w:rsid w:val="00A07672"/>
    <w:rsid w:val="00A10F10"/>
    <w:rsid w:val="00A22122"/>
    <w:rsid w:val="00A630AA"/>
    <w:rsid w:val="00A713E9"/>
    <w:rsid w:val="00A74C13"/>
    <w:rsid w:val="00A756D3"/>
    <w:rsid w:val="00A772F0"/>
    <w:rsid w:val="00A8744E"/>
    <w:rsid w:val="00AA23D1"/>
    <w:rsid w:val="00AA6ACD"/>
    <w:rsid w:val="00AB1A8B"/>
    <w:rsid w:val="00AC1E8E"/>
    <w:rsid w:val="00AD00F1"/>
    <w:rsid w:val="00AD0597"/>
    <w:rsid w:val="00AD4108"/>
    <w:rsid w:val="00AF2968"/>
    <w:rsid w:val="00AF58EC"/>
    <w:rsid w:val="00B12706"/>
    <w:rsid w:val="00B15006"/>
    <w:rsid w:val="00B168E4"/>
    <w:rsid w:val="00B31897"/>
    <w:rsid w:val="00B63507"/>
    <w:rsid w:val="00BB4F9B"/>
    <w:rsid w:val="00BD6B3C"/>
    <w:rsid w:val="00BE7A69"/>
    <w:rsid w:val="00BF0445"/>
    <w:rsid w:val="00BF24A2"/>
    <w:rsid w:val="00BF6095"/>
    <w:rsid w:val="00C162A1"/>
    <w:rsid w:val="00C20BED"/>
    <w:rsid w:val="00C21181"/>
    <w:rsid w:val="00C35ED8"/>
    <w:rsid w:val="00C37193"/>
    <w:rsid w:val="00C62649"/>
    <w:rsid w:val="00C71426"/>
    <w:rsid w:val="00C9451B"/>
    <w:rsid w:val="00C9585F"/>
    <w:rsid w:val="00CA1A2F"/>
    <w:rsid w:val="00CA7004"/>
    <w:rsid w:val="00CB5F7B"/>
    <w:rsid w:val="00CE1472"/>
    <w:rsid w:val="00CE6C4F"/>
    <w:rsid w:val="00CF7595"/>
    <w:rsid w:val="00D24B69"/>
    <w:rsid w:val="00D85B54"/>
    <w:rsid w:val="00D92C11"/>
    <w:rsid w:val="00D944C9"/>
    <w:rsid w:val="00DA0C0B"/>
    <w:rsid w:val="00DA0F1D"/>
    <w:rsid w:val="00DB3D85"/>
    <w:rsid w:val="00DB64BA"/>
    <w:rsid w:val="00DC255F"/>
    <w:rsid w:val="00DF128F"/>
    <w:rsid w:val="00E07879"/>
    <w:rsid w:val="00E266D4"/>
    <w:rsid w:val="00E61FC1"/>
    <w:rsid w:val="00E66AC2"/>
    <w:rsid w:val="00E97538"/>
    <w:rsid w:val="00EA6B11"/>
    <w:rsid w:val="00EB504F"/>
    <w:rsid w:val="00EB74CE"/>
    <w:rsid w:val="00EC3581"/>
    <w:rsid w:val="00ED47F9"/>
    <w:rsid w:val="00ED68D9"/>
    <w:rsid w:val="00EE2F17"/>
    <w:rsid w:val="00F02715"/>
    <w:rsid w:val="00F04EA3"/>
    <w:rsid w:val="00F148D5"/>
    <w:rsid w:val="00F234B1"/>
    <w:rsid w:val="00F32367"/>
    <w:rsid w:val="00F514C6"/>
    <w:rsid w:val="00F539F2"/>
    <w:rsid w:val="00F63869"/>
    <w:rsid w:val="00F64D7E"/>
    <w:rsid w:val="00F703D8"/>
    <w:rsid w:val="00F94B91"/>
    <w:rsid w:val="00F97F7F"/>
    <w:rsid w:val="00FB01AD"/>
    <w:rsid w:val="00FD63E4"/>
    <w:rsid w:val="00FE683A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MWyavsV0PKkTMpc6QbdFp8U8aGs=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Haa2hTimsp/21v5Xtql54O1JFHDLhP/ZzbJ1RlZgcq/tGyUNy6aNhw4StmzTeQ3ygu1BaySP
    LVMFVsVEQqVoQOPrkk8/WAuS/1LshAvnCRS5rdXupR7g2U39GhKLLHf61eS9SY+tl9iBo4lX
    CeSabhzhW/uVTyqvwdbQK/Ega87N4TLGxczFJJgRiTKcyDpdUW6e0V6t+HK4SCxYGu7b5CFc
    kfysJqaNGMCTYRk14IS67vi/1Co9V4NYxlRXfvjkuNks1P1Y8a5aLIjk3rSj2guY0WKr40W3
    wGIY6JF073ybVF//rtwoEcLTaln3V2Z4sTH6BQPUh3XPm5F6w0vzXQ==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q6NuCNK1sLaFyI3zYXkP2rF5sxE=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jCZMj7eBwSqikADE0cqcKThLfHY=</DigestValue>
      </Reference>
      <Reference URI="/word/document.xml?ContentType=application/vnd.openxmlformats-officedocument.wordprocessingml.document.main+xml">
        <DigestMethod Algorithm="http://www.w3.org/2000/09/xmldsig#sha1"/>
        <DigestValue>QZ03ZbgyDVoan1msye0nbhdjs5Y=</DigestValue>
      </Reference>
      <Reference URI="/word/endnotes.xml?ContentType=application/vnd.openxmlformats-officedocument.wordprocessingml.endnotes+xml">
        <DigestMethod Algorithm="http://www.w3.org/2000/09/xmldsig#sha1"/>
        <DigestValue>qioss/B7s7V2wburFj6zT469oHQ=</DigestValue>
      </Reference>
      <Reference URI="/word/fontTable.xml?ContentType=application/vnd.openxmlformats-officedocument.wordprocessingml.fontTable+xml">
        <DigestMethod Algorithm="http://www.w3.org/2000/09/xmldsig#sha1"/>
        <DigestValue>HjmobXijfZCXop4ClbtFVh6G37o=</DigestValue>
      </Reference>
      <Reference URI="/word/footer1.xml?ContentType=application/vnd.openxmlformats-officedocument.wordprocessingml.footer+xml">
        <DigestMethod Algorithm="http://www.w3.org/2000/09/xmldsig#sha1"/>
        <DigestValue>S9iLe2AyC58siUMUz+h3mT0Qs5w=</DigestValue>
      </Reference>
      <Reference URI="/word/footer2.xml?ContentType=application/vnd.openxmlformats-officedocument.wordprocessingml.footer+xml">
        <DigestMethod Algorithm="http://www.w3.org/2000/09/xmldsig#sha1"/>
        <DigestValue>AWZ0fq1OnsjI0gAjR79Nuhq2EuU=</DigestValue>
      </Reference>
      <Reference URI="/word/footnotes.xml?ContentType=application/vnd.openxmlformats-officedocument.wordprocessingml.footnotes+xml">
        <DigestMethod Algorithm="http://www.w3.org/2000/09/xmldsig#sha1"/>
        <DigestValue>TBXluGCJqMPJ11bIj+CUslcs6f8=</DigestValue>
      </Reference>
      <Reference URI="/word/header1.xml?ContentType=application/vnd.openxmlformats-officedocument.wordprocessingml.header+xml">
        <DigestMethod Algorithm="http://www.w3.org/2000/09/xmldsig#sha1"/>
        <DigestValue>NobIaawq6n17KFp6eZSnGmh7a2M=</DigestValue>
      </Reference>
      <Reference URI="/word/header2.xml?ContentType=application/vnd.openxmlformats-officedocument.wordprocessingml.header+xml">
        <DigestMethod Algorithm="http://www.w3.org/2000/09/xmldsig#sha1"/>
        <DigestValue>RcduplSgpiiLhZb4iUKYum+sLlk=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media/image2.png?ContentType=image/png">
        <DigestMethod Algorithm="http://www.w3.org/2000/09/xmldsig#sha1"/>
        <DigestValue>X1HcusalgNQDZWwcaSvvWVTyCzE=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dSURoEBQ4KFHwGalmjnP/iIS37A=</DigestValue>
      </Reference>
      <Reference URI="/word/settings.xml?ContentType=application/vnd.openxmlformats-officedocument.wordprocessingml.settings+xml">
        <DigestMethod Algorithm="http://www.w3.org/2000/09/xmldsig#sha1"/>
        <DigestValue>fwQWI8MylXbOPpRGSrB2ZYO5gxk=</DigestValue>
      </Reference>
      <Reference URI="/word/styles.xml?ContentType=application/vnd.openxmlformats-officedocument.wordprocessingml.styles+xml">
        <DigestMethod Algorithm="http://www.w3.org/2000/09/xmldsig#sha1"/>
        <DigestValue>cjGusGkLS42mKRIyVKd/D32ACbA=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SGYmp49cX5i8zvrcgMNGadyoA9g=</DigestValue>
      </Reference>
    </Manifest>
    <SignatureProperties>
      <SignatureProperty Id="idSignatureTime" Target="#idPackageSignature">
        <mdssi:SignatureTime>
          <mdssi:Format>YYYY-MM-DDThh:mm:ssTZD</mdssi:Format>
          <mdssi:Value>2017-03-09T12:02:25Z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8E5CC-EBF0-4360-8889-8CB5FC0C5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620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Ing. Bohuslav Kočí </cp:lastModifiedBy>
  <cp:revision>14</cp:revision>
  <cp:lastPrinted>2014-06-19T12:58:00Z</cp:lastPrinted>
  <dcterms:created xsi:type="dcterms:W3CDTF">2017-01-03T07:46:00Z</dcterms:created>
  <dcterms:modified xsi:type="dcterms:W3CDTF">2017-02-09T08:15:00Z</dcterms:modified>
</cp:coreProperties>
</file>