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76646" w14:textId="77777777" w:rsidR="00C14632" w:rsidRDefault="00C14632" w:rsidP="00536DF7">
      <w:pPr>
        <w:ind w:right="10"/>
        <w:jc w:val="center"/>
        <w:rPr>
          <w:rFonts w:asciiTheme="minorHAnsi" w:hAnsiTheme="minorHAnsi" w:cs="Arial"/>
          <w:b/>
          <w:sz w:val="36"/>
          <w:szCs w:val="36"/>
          <w:lang w:eastAsia="ar-SA"/>
        </w:rPr>
      </w:pPr>
    </w:p>
    <w:p w14:paraId="01FB632D" w14:textId="77777777" w:rsidR="00C14632" w:rsidRDefault="00C14632" w:rsidP="00536DF7">
      <w:pPr>
        <w:ind w:right="10"/>
        <w:jc w:val="center"/>
        <w:rPr>
          <w:rFonts w:asciiTheme="minorHAnsi" w:hAnsiTheme="minorHAnsi" w:cs="Arial"/>
          <w:b/>
          <w:sz w:val="36"/>
          <w:szCs w:val="36"/>
          <w:lang w:eastAsia="ar-SA"/>
        </w:rPr>
      </w:pPr>
    </w:p>
    <w:p w14:paraId="55C26C1D" w14:textId="77777777" w:rsidR="00536DF7" w:rsidRPr="00C14632" w:rsidRDefault="00536DF7" w:rsidP="00536DF7">
      <w:pPr>
        <w:ind w:right="10"/>
        <w:jc w:val="center"/>
        <w:rPr>
          <w:rFonts w:asciiTheme="minorHAnsi" w:hAnsiTheme="minorHAnsi" w:cs="Arial"/>
          <w:sz w:val="22"/>
          <w:szCs w:val="22"/>
          <w:lang w:eastAsia="ar-SA"/>
        </w:rPr>
      </w:pPr>
    </w:p>
    <w:p w14:paraId="1EBA6F47" w14:textId="77777777" w:rsidR="00C14632" w:rsidRPr="00C14632" w:rsidRDefault="00C14632" w:rsidP="00536DF7">
      <w:pPr>
        <w:ind w:right="10"/>
        <w:jc w:val="center"/>
        <w:rPr>
          <w:rFonts w:asciiTheme="minorHAnsi" w:hAnsiTheme="minorHAnsi" w:cs="Arial"/>
          <w:sz w:val="36"/>
          <w:szCs w:val="36"/>
          <w:lang w:eastAsia="ar-SA"/>
        </w:rPr>
      </w:pPr>
    </w:p>
    <w:p w14:paraId="714BA8FE" w14:textId="77777777" w:rsidR="000D3E50" w:rsidRPr="00C14632" w:rsidRDefault="00536DF7" w:rsidP="00536DF7">
      <w:pPr>
        <w:ind w:right="10"/>
        <w:jc w:val="center"/>
        <w:rPr>
          <w:rFonts w:asciiTheme="minorHAnsi" w:hAnsiTheme="minorHAnsi" w:cs="Arial"/>
          <w:b/>
          <w:sz w:val="36"/>
          <w:szCs w:val="36"/>
          <w:lang w:eastAsia="ar-SA"/>
        </w:rPr>
      </w:pPr>
      <w:r w:rsidRPr="00C14632">
        <w:rPr>
          <w:rFonts w:asciiTheme="minorHAnsi" w:hAnsiTheme="minorHAnsi" w:cs="Arial"/>
          <w:b/>
          <w:sz w:val="36"/>
          <w:szCs w:val="36"/>
          <w:lang w:eastAsia="ar-SA"/>
        </w:rPr>
        <w:t>Obchodní podmínky</w:t>
      </w:r>
      <w:r w:rsidR="000D3E50" w:rsidRPr="00C14632">
        <w:rPr>
          <w:rFonts w:asciiTheme="minorHAnsi" w:hAnsiTheme="minorHAnsi" w:cs="Arial"/>
          <w:b/>
          <w:sz w:val="36"/>
          <w:szCs w:val="36"/>
          <w:lang w:eastAsia="ar-SA"/>
        </w:rPr>
        <w:t xml:space="preserve"> </w:t>
      </w:r>
    </w:p>
    <w:p w14:paraId="7E9F0CEF" w14:textId="77777777" w:rsidR="00536DF7" w:rsidRPr="00C14632" w:rsidRDefault="000D3E50" w:rsidP="00536DF7">
      <w:pPr>
        <w:ind w:right="10"/>
        <w:jc w:val="center"/>
        <w:rPr>
          <w:rFonts w:asciiTheme="minorHAnsi" w:hAnsiTheme="minorHAnsi" w:cs="Arial"/>
          <w:sz w:val="36"/>
          <w:szCs w:val="36"/>
          <w:lang w:eastAsia="ar-SA"/>
        </w:rPr>
      </w:pPr>
      <w:r w:rsidRPr="00C14632">
        <w:rPr>
          <w:rFonts w:asciiTheme="minorHAnsi" w:hAnsiTheme="minorHAnsi" w:cs="Arial"/>
          <w:sz w:val="36"/>
          <w:szCs w:val="36"/>
          <w:lang w:eastAsia="ar-SA"/>
        </w:rPr>
        <w:t>k pojištění odpovědnosti při výkonu povolání</w:t>
      </w:r>
    </w:p>
    <w:p w14:paraId="36C025FC" w14:textId="77777777" w:rsidR="00536DF7" w:rsidRPr="000D3E50" w:rsidRDefault="00536DF7" w:rsidP="00536DF7">
      <w:pPr>
        <w:ind w:right="10"/>
        <w:jc w:val="center"/>
        <w:rPr>
          <w:rFonts w:asciiTheme="minorHAnsi" w:hAnsiTheme="minorHAnsi" w:cs="Arial"/>
          <w:b/>
          <w:sz w:val="36"/>
          <w:szCs w:val="36"/>
          <w:lang w:eastAsia="ar-SA"/>
        </w:rPr>
      </w:pPr>
    </w:p>
    <w:p w14:paraId="047E0373" w14:textId="77777777" w:rsidR="000D3E50" w:rsidRDefault="000D3E50" w:rsidP="00536DF7">
      <w:pPr>
        <w:ind w:right="10"/>
        <w:jc w:val="center"/>
        <w:rPr>
          <w:rFonts w:asciiTheme="minorHAnsi" w:hAnsiTheme="minorHAnsi" w:cs="Arial"/>
          <w:b/>
          <w:sz w:val="36"/>
          <w:szCs w:val="36"/>
          <w:lang w:eastAsia="ar-SA"/>
        </w:rPr>
      </w:pPr>
    </w:p>
    <w:p w14:paraId="71571084" w14:textId="77777777" w:rsidR="00C14632" w:rsidRPr="000D3E50" w:rsidRDefault="00C14632" w:rsidP="00536DF7">
      <w:pPr>
        <w:ind w:right="10"/>
        <w:jc w:val="center"/>
        <w:rPr>
          <w:rFonts w:asciiTheme="minorHAnsi" w:hAnsiTheme="minorHAnsi" w:cs="Arial"/>
          <w:b/>
          <w:sz w:val="36"/>
          <w:szCs w:val="36"/>
          <w:lang w:eastAsia="ar-SA"/>
        </w:rPr>
      </w:pPr>
    </w:p>
    <w:p w14:paraId="34218B92" w14:textId="77777777" w:rsidR="00536DF7" w:rsidRPr="00C14632" w:rsidRDefault="000D3E50" w:rsidP="00C14632">
      <w:pPr>
        <w:spacing w:after="120" w:line="264" w:lineRule="auto"/>
        <w:ind w:left="11" w:right="6" w:hanging="11"/>
        <w:jc w:val="center"/>
        <w:rPr>
          <w:rFonts w:asciiTheme="minorHAnsi" w:hAnsiTheme="minorHAnsi"/>
          <w:sz w:val="32"/>
          <w:szCs w:val="32"/>
        </w:rPr>
      </w:pPr>
      <w:r w:rsidRPr="00C14632">
        <w:rPr>
          <w:rFonts w:asciiTheme="minorHAnsi" w:hAnsiTheme="minorHAnsi"/>
          <w:sz w:val="32"/>
          <w:szCs w:val="32"/>
        </w:rPr>
        <w:t>N</w:t>
      </w:r>
      <w:r w:rsidR="00536DF7" w:rsidRPr="00C14632">
        <w:rPr>
          <w:rFonts w:asciiTheme="minorHAnsi" w:hAnsiTheme="minorHAnsi"/>
          <w:sz w:val="32"/>
          <w:szCs w:val="32"/>
        </w:rPr>
        <w:t>ázev veřejné zakázky:</w:t>
      </w:r>
    </w:p>
    <w:p w14:paraId="05F41E02" w14:textId="77777777" w:rsidR="000D3E50" w:rsidRPr="00C14632" w:rsidRDefault="000D3E50" w:rsidP="00C14632">
      <w:pPr>
        <w:spacing w:after="240"/>
        <w:ind w:right="11"/>
        <w:jc w:val="center"/>
        <w:rPr>
          <w:rFonts w:asciiTheme="minorHAnsi" w:hAnsiTheme="minorHAnsi"/>
          <w:b/>
          <w:sz w:val="32"/>
          <w:szCs w:val="32"/>
        </w:rPr>
      </w:pPr>
      <w:r w:rsidRPr="00C14632">
        <w:rPr>
          <w:rFonts w:asciiTheme="minorHAnsi" w:hAnsiTheme="minorHAnsi"/>
          <w:b/>
          <w:sz w:val="32"/>
          <w:szCs w:val="32"/>
        </w:rPr>
        <w:t>Kolektivní pojištění odpovědnosti zaměstnanců</w:t>
      </w:r>
    </w:p>
    <w:p w14:paraId="012FEE86" w14:textId="3B3C8F84" w:rsidR="000D3E50" w:rsidRPr="00C14632" w:rsidRDefault="000D3E50" w:rsidP="00C14632">
      <w:pPr>
        <w:spacing w:after="240"/>
        <w:ind w:right="10"/>
        <w:jc w:val="center"/>
        <w:rPr>
          <w:rFonts w:asciiTheme="minorHAnsi" w:hAnsiTheme="minorHAnsi" w:cs="Arial"/>
          <w:sz w:val="32"/>
          <w:szCs w:val="32"/>
          <w:lang w:eastAsia="ar-SA"/>
        </w:rPr>
      </w:pPr>
      <w:r w:rsidRPr="00C14632">
        <w:rPr>
          <w:rFonts w:asciiTheme="minorHAnsi" w:hAnsiTheme="minorHAnsi"/>
          <w:sz w:val="32"/>
          <w:szCs w:val="32"/>
        </w:rPr>
        <w:t xml:space="preserve">Evidenční číslo zakázky: </w:t>
      </w:r>
      <w:r w:rsidR="00DA6611" w:rsidRPr="00DA6611">
        <w:rPr>
          <w:rFonts w:asciiTheme="minorHAnsi" w:hAnsiTheme="minorHAnsi"/>
          <w:sz w:val="32"/>
          <w:szCs w:val="32"/>
        </w:rPr>
        <w:t>NR-13-19-PŘ-Ja</w:t>
      </w:r>
    </w:p>
    <w:p w14:paraId="26DE3C36" w14:textId="77777777" w:rsidR="00536DF7" w:rsidRPr="000D3E50" w:rsidRDefault="00536DF7" w:rsidP="00C14632">
      <w:pPr>
        <w:spacing w:after="240"/>
        <w:ind w:right="1"/>
        <w:jc w:val="center"/>
        <w:rPr>
          <w:rFonts w:asciiTheme="minorHAnsi" w:hAnsiTheme="minorHAnsi" w:cs="Arial"/>
          <w:sz w:val="22"/>
          <w:szCs w:val="22"/>
          <w:lang w:eastAsia="ar-SA"/>
        </w:rPr>
      </w:pPr>
      <w:r w:rsidRPr="000D3E50">
        <w:rPr>
          <w:rFonts w:asciiTheme="minorHAnsi" w:hAnsiTheme="minorHAnsi" w:cs="Arial"/>
          <w:sz w:val="22"/>
          <w:szCs w:val="22"/>
          <w:lang w:eastAsia="ar-SA"/>
        </w:rPr>
        <w:t xml:space="preserve"> (dále jen „veřejná zakázka“)</w:t>
      </w:r>
    </w:p>
    <w:p w14:paraId="36B89991" w14:textId="77777777" w:rsidR="00536DF7" w:rsidRDefault="00536DF7" w:rsidP="00536DF7">
      <w:pPr>
        <w:spacing w:after="573" w:line="265" w:lineRule="auto"/>
        <w:ind w:left="10" w:right="5" w:hanging="10"/>
        <w:jc w:val="center"/>
        <w:rPr>
          <w:rFonts w:asciiTheme="minorHAnsi" w:hAnsiTheme="minorHAnsi" w:cs="Arial"/>
          <w:sz w:val="22"/>
          <w:szCs w:val="22"/>
          <w:lang w:eastAsia="ar-SA"/>
        </w:rPr>
      </w:pPr>
    </w:p>
    <w:p w14:paraId="62E82C9F" w14:textId="77777777" w:rsidR="00C14632" w:rsidRPr="000D3E50" w:rsidRDefault="00C14632" w:rsidP="00536DF7">
      <w:pPr>
        <w:spacing w:after="573" w:line="265" w:lineRule="auto"/>
        <w:ind w:left="10" w:right="5" w:hanging="10"/>
        <w:jc w:val="center"/>
        <w:rPr>
          <w:rFonts w:asciiTheme="minorHAnsi" w:hAnsiTheme="minorHAnsi" w:cs="Arial"/>
          <w:sz w:val="22"/>
          <w:szCs w:val="22"/>
          <w:lang w:eastAsia="ar-SA"/>
        </w:rPr>
      </w:pPr>
    </w:p>
    <w:p w14:paraId="0004C94D" w14:textId="77777777" w:rsidR="00536DF7" w:rsidRPr="00C14632" w:rsidRDefault="00536DF7" w:rsidP="00536DF7">
      <w:pPr>
        <w:spacing w:after="212" w:line="265" w:lineRule="auto"/>
        <w:ind w:left="10" w:right="3" w:hanging="10"/>
        <w:jc w:val="center"/>
        <w:rPr>
          <w:rFonts w:asciiTheme="minorHAnsi" w:hAnsiTheme="minorHAnsi" w:cs="Arial"/>
          <w:sz w:val="22"/>
          <w:szCs w:val="22"/>
          <w:lang w:eastAsia="ar-SA"/>
        </w:rPr>
      </w:pPr>
      <w:r w:rsidRPr="00C14632">
        <w:rPr>
          <w:rFonts w:asciiTheme="minorHAnsi" w:hAnsiTheme="minorHAnsi" w:cs="Arial"/>
          <w:b/>
          <w:sz w:val="22"/>
          <w:szCs w:val="22"/>
          <w:lang w:eastAsia="ar-SA"/>
        </w:rPr>
        <w:t>Zadavatel:</w:t>
      </w:r>
      <w:r w:rsidRPr="00C14632">
        <w:rPr>
          <w:rFonts w:asciiTheme="minorHAnsi" w:hAnsiTheme="minorHAnsi" w:cs="Arial"/>
          <w:sz w:val="22"/>
          <w:szCs w:val="22"/>
          <w:lang w:eastAsia="ar-SA"/>
        </w:rPr>
        <w:t xml:space="preserve"> </w:t>
      </w:r>
    </w:p>
    <w:p w14:paraId="52AB33E9" w14:textId="77777777" w:rsidR="00536DF7" w:rsidRPr="000D3E50" w:rsidRDefault="000D3E50" w:rsidP="00536DF7">
      <w:pPr>
        <w:spacing w:line="265" w:lineRule="auto"/>
        <w:ind w:left="10" w:right="5" w:hanging="10"/>
        <w:jc w:val="center"/>
        <w:rPr>
          <w:rFonts w:asciiTheme="minorHAnsi" w:hAnsiTheme="minorHAnsi" w:cs="Arial"/>
          <w:sz w:val="22"/>
          <w:szCs w:val="22"/>
          <w:lang w:eastAsia="ar-SA"/>
        </w:rPr>
      </w:pPr>
      <w:r w:rsidRPr="000D3E50">
        <w:rPr>
          <w:rFonts w:asciiTheme="minorHAnsi" w:hAnsiTheme="minorHAnsi" w:cs="Arial"/>
          <w:sz w:val="22"/>
          <w:szCs w:val="22"/>
          <w:lang w:eastAsia="ar-SA"/>
        </w:rPr>
        <w:t>Dopravní podnik Ostrava a.s.</w:t>
      </w:r>
    </w:p>
    <w:p w14:paraId="0CF3608B" w14:textId="77777777" w:rsidR="00536DF7" w:rsidRPr="000D3E50" w:rsidRDefault="000D3E50" w:rsidP="00536DF7">
      <w:pPr>
        <w:spacing w:after="3" w:line="265" w:lineRule="auto"/>
        <w:ind w:left="10" w:right="3" w:hanging="10"/>
        <w:jc w:val="center"/>
        <w:rPr>
          <w:rFonts w:asciiTheme="minorHAnsi" w:hAnsiTheme="minorHAnsi" w:cs="Arial"/>
          <w:sz w:val="22"/>
          <w:szCs w:val="22"/>
          <w:lang w:eastAsia="ar-SA"/>
        </w:rPr>
      </w:pPr>
      <w:r w:rsidRPr="000D3E50">
        <w:rPr>
          <w:rFonts w:asciiTheme="minorHAnsi" w:hAnsiTheme="minorHAnsi" w:cs="Arial"/>
          <w:sz w:val="22"/>
          <w:szCs w:val="22"/>
          <w:lang w:eastAsia="ar-SA"/>
        </w:rPr>
        <w:t>IČO: 61974757</w:t>
      </w:r>
    </w:p>
    <w:p w14:paraId="6FCB6F3D" w14:textId="77777777" w:rsidR="00536DF7" w:rsidRPr="000D3E50" w:rsidRDefault="000D3E50" w:rsidP="00536DF7">
      <w:pPr>
        <w:spacing w:after="1172" w:line="265" w:lineRule="auto"/>
        <w:ind w:left="10" w:right="4" w:hanging="10"/>
        <w:jc w:val="center"/>
        <w:rPr>
          <w:rFonts w:asciiTheme="minorHAnsi" w:hAnsiTheme="minorHAnsi" w:cs="Arial"/>
          <w:sz w:val="22"/>
          <w:szCs w:val="22"/>
          <w:lang w:eastAsia="ar-SA"/>
        </w:rPr>
      </w:pPr>
      <w:r w:rsidRPr="000D3E50">
        <w:rPr>
          <w:rFonts w:asciiTheme="minorHAnsi" w:hAnsiTheme="minorHAnsi" w:cs="Arial"/>
          <w:sz w:val="22"/>
          <w:szCs w:val="22"/>
          <w:lang w:eastAsia="ar-SA"/>
        </w:rPr>
        <w:t>se sídlem: Poděbradova 494/2, Moravská Ostrava, 702 00 Ostrava</w:t>
      </w:r>
    </w:p>
    <w:p w14:paraId="6A776095" w14:textId="77777777" w:rsidR="00536DF7" w:rsidRPr="000D3E50" w:rsidRDefault="00536DF7" w:rsidP="00536DF7">
      <w:pPr>
        <w:spacing w:after="160" w:line="259" w:lineRule="auto"/>
        <w:rPr>
          <w:rFonts w:asciiTheme="minorHAnsi" w:hAnsiTheme="minorHAnsi" w:cs="Arial"/>
          <w:sz w:val="22"/>
          <w:szCs w:val="22"/>
          <w:lang w:eastAsia="ar-SA"/>
        </w:rPr>
      </w:pPr>
      <w:r w:rsidRPr="000D3E50">
        <w:rPr>
          <w:rFonts w:asciiTheme="minorHAnsi" w:hAnsiTheme="minorHAnsi" w:cs="Arial"/>
          <w:sz w:val="22"/>
          <w:szCs w:val="22"/>
          <w:lang w:eastAsia="ar-SA"/>
        </w:rPr>
        <w:br w:type="page"/>
      </w:r>
    </w:p>
    <w:p w14:paraId="00C123DA" w14:textId="77777777" w:rsidR="00536DF7" w:rsidRPr="00C14632" w:rsidRDefault="00536DF7" w:rsidP="00C65D30">
      <w:pPr>
        <w:pStyle w:val="Odstavecseseznamem"/>
        <w:pageBreakBefore/>
        <w:widowControl w:val="0"/>
        <w:numPr>
          <w:ilvl w:val="0"/>
          <w:numId w:val="2"/>
        </w:numPr>
        <w:tabs>
          <w:tab w:val="left" w:pos="567"/>
        </w:tabs>
        <w:spacing w:before="100" w:after="80"/>
        <w:ind w:hanging="927"/>
        <w:rPr>
          <w:rFonts w:asciiTheme="minorHAnsi" w:eastAsia="Arial" w:hAnsiTheme="minorHAnsi" w:cs="Arial"/>
          <w:b/>
          <w:caps/>
          <w:snapToGrid w:val="0"/>
          <w:color w:val="000000"/>
          <w:sz w:val="22"/>
          <w:szCs w:val="22"/>
        </w:rPr>
      </w:pPr>
      <w:r w:rsidRPr="00C14632">
        <w:rPr>
          <w:rFonts w:asciiTheme="minorHAnsi" w:eastAsia="Arial" w:hAnsiTheme="minorHAnsi" w:cs="Arial"/>
          <w:b/>
          <w:caps/>
          <w:snapToGrid w:val="0"/>
          <w:color w:val="000000"/>
          <w:sz w:val="22"/>
          <w:szCs w:val="22"/>
        </w:rPr>
        <w:lastRenderedPageBreak/>
        <w:t>Úvodní ustanovení</w:t>
      </w:r>
    </w:p>
    <w:p w14:paraId="0C890F02" w14:textId="77777777" w:rsidR="00536DF7" w:rsidRPr="000D3E50" w:rsidRDefault="00536DF7" w:rsidP="00536DF7">
      <w:pPr>
        <w:jc w:val="both"/>
        <w:rPr>
          <w:rFonts w:asciiTheme="minorHAnsi" w:hAnsiTheme="minorHAnsi"/>
          <w:lang w:eastAsia="ar-SA"/>
        </w:rPr>
      </w:pPr>
    </w:p>
    <w:p w14:paraId="011164AC" w14:textId="77777777" w:rsidR="00536DF7" w:rsidRPr="00EC2FEE" w:rsidRDefault="00536DF7" w:rsidP="00FD4B96">
      <w:pPr>
        <w:pStyle w:val="Odstavecseseznamem"/>
        <w:widowControl w:val="0"/>
        <w:tabs>
          <w:tab w:val="left" w:pos="-2127"/>
        </w:tabs>
        <w:spacing w:before="80" w:after="60"/>
        <w:ind w:left="567"/>
        <w:jc w:val="both"/>
        <w:rPr>
          <w:rFonts w:asciiTheme="minorHAnsi" w:eastAsia="Arial" w:hAnsiTheme="minorHAnsi" w:cs="Arial"/>
          <w:sz w:val="22"/>
          <w:szCs w:val="22"/>
        </w:rPr>
      </w:pPr>
      <w:r w:rsidRPr="000D3E50">
        <w:rPr>
          <w:rFonts w:asciiTheme="minorHAnsi" w:eastAsia="Arial" w:hAnsiTheme="minorHAnsi" w:cs="Arial"/>
          <w:sz w:val="22"/>
          <w:szCs w:val="22"/>
        </w:rPr>
        <w:t xml:space="preserve">Pojištění, které bude sjednáno na základě těchto obchodních podmínek, se bude řídit pojistnými podmínkami a </w:t>
      </w:r>
      <w:r w:rsidRPr="00EC2FEE">
        <w:rPr>
          <w:rFonts w:asciiTheme="minorHAnsi" w:eastAsia="Arial" w:hAnsiTheme="minorHAnsi" w:cs="Arial"/>
          <w:sz w:val="22"/>
          <w:szCs w:val="22"/>
        </w:rPr>
        <w:t>individuálními ujednáními uvedenými v těchto obchodních podmínkách.</w:t>
      </w:r>
    </w:p>
    <w:p w14:paraId="134FC828" w14:textId="77777777" w:rsidR="00C14632" w:rsidRDefault="005604D3" w:rsidP="00C14632">
      <w:pPr>
        <w:pStyle w:val="Odstavecseseznamem"/>
        <w:widowControl w:val="0"/>
        <w:tabs>
          <w:tab w:val="left" w:pos="-2127"/>
        </w:tabs>
        <w:spacing w:before="80" w:after="60"/>
        <w:ind w:left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="00536DF7" w:rsidRPr="000D3E50">
        <w:rPr>
          <w:rFonts w:asciiTheme="minorHAnsi" w:hAnsiTheme="minorHAnsi" w:cs="Arial"/>
          <w:sz w:val="22"/>
          <w:szCs w:val="22"/>
        </w:rPr>
        <w:t xml:space="preserve"> případě rozporu individuálních ujednání a pojistných podmínek platí jako první individuální ujednání dle těchto obchodních podmínek. </w:t>
      </w:r>
    </w:p>
    <w:p w14:paraId="76BE620F" w14:textId="77777777" w:rsidR="00C14632" w:rsidRDefault="00C14632" w:rsidP="00C14632">
      <w:pPr>
        <w:pStyle w:val="Odstavecseseznamem"/>
        <w:widowControl w:val="0"/>
        <w:tabs>
          <w:tab w:val="left" w:pos="-2127"/>
        </w:tabs>
        <w:spacing w:before="80" w:after="60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00C4DE00" w14:textId="77777777" w:rsidR="00C14632" w:rsidRPr="00C14632" w:rsidRDefault="00536DF7" w:rsidP="00C14632">
      <w:pPr>
        <w:pStyle w:val="Odstavecseseznamem"/>
        <w:widowControl w:val="0"/>
        <w:tabs>
          <w:tab w:val="left" w:pos="-2127"/>
        </w:tabs>
        <w:spacing w:before="60"/>
        <w:ind w:left="567"/>
        <w:jc w:val="both"/>
        <w:rPr>
          <w:rFonts w:asciiTheme="minorHAnsi" w:eastAsia="Arial" w:hAnsiTheme="minorHAnsi" w:cs="Arial"/>
          <w:b/>
          <w:sz w:val="22"/>
          <w:szCs w:val="22"/>
        </w:rPr>
      </w:pPr>
      <w:r w:rsidRPr="00C14632">
        <w:rPr>
          <w:rFonts w:asciiTheme="minorHAnsi" w:hAnsiTheme="minorHAnsi" w:cs="Arial"/>
          <w:sz w:val="22"/>
          <w:szCs w:val="22"/>
          <w:u w:val="single"/>
        </w:rPr>
        <w:t>Pojistníkem je:</w:t>
      </w:r>
      <w:r w:rsidR="00C14632">
        <w:rPr>
          <w:rFonts w:asciiTheme="minorHAnsi" w:hAnsiTheme="minorHAnsi" w:cs="Arial"/>
          <w:sz w:val="22"/>
          <w:szCs w:val="22"/>
        </w:rPr>
        <w:t xml:space="preserve"> </w:t>
      </w:r>
      <w:r w:rsidR="00C14632">
        <w:rPr>
          <w:rFonts w:asciiTheme="minorHAnsi" w:hAnsiTheme="minorHAnsi" w:cs="Arial"/>
          <w:sz w:val="22"/>
          <w:szCs w:val="22"/>
        </w:rPr>
        <w:tab/>
      </w:r>
      <w:r w:rsidR="00C14632">
        <w:rPr>
          <w:rFonts w:asciiTheme="minorHAnsi" w:hAnsiTheme="minorHAnsi" w:cs="Arial"/>
          <w:sz w:val="22"/>
          <w:szCs w:val="22"/>
        </w:rPr>
        <w:tab/>
      </w:r>
      <w:r w:rsidR="00C14632" w:rsidRPr="000D3E50">
        <w:rPr>
          <w:rFonts w:asciiTheme="minorHAnsi" w:hAnsiTheme="minorHAnsi" w:cs="Arial"/>
          <w:sz w:val="22"/>
          <w:szCs w:val="22"/>
        </w:rPr>
        <w:t>Dopravní podnik Ostrava a.s.</w:t>
      </w:r>
    </w:p>
    <w:p w14:paraId="1B8565EB" w14:textId="77777777" w:rsidR="00C14632" w:rsidRDefault="00C14632" w:rsidP="00C14632">
      <w:pPr>
        <w:spacing w:before="60" w:line="265" w:lineRule="auto"/>
        <w:ind w:left="2124" w:right="4" w:firstLine="708"/>
        <w:rPr>
          <w:rFonts w:asciiTheme="minorHAnsi" w:hAnsiTheme="minorHAnsi" w:cs="Arial"/>
          <w:sz w:val="22"/>
          <w:szCs w:val="22"/>
          <w:lang w:eastAsia="ar-SA"/>
        </w:rPr>
      </w:pPr>
      <w:r w:rsidRPr="000D3E50">
        <w:rPr>
          <w:rFonts w:asciiTheme="minorHAnsi" w:hAnsiTheme="minorHAnsi" w:cs="Arial"/>
          <w:sz w:val="22"/>
          <w:szCs w:val="22"/>
          <w:lang w:eastAsia="ar-SA"/>
        </w:rPr>
        <w:t>se sídlem: Poděbradova 494/2, Moravská Ostrava, 702 00 Ostr</w:t>
      </w:r>
      <w:r>
        <w:rPr>
          <w:rFonts w:asciiTheme="minorHAnsi" w:hAnsiTheme="minorHAnsi" w:cs="Arial"/>
          <w:sz w:val="22"/>
          <w:szCs w:val="22"/>
          <w:lang w:eastAsia="ar-SA"/>
        </w:rPr>
        <w:t>ava</w:t>
      </w:r>
    </w:p>
    <w:p w14:paraId="67A39986" w14:textId="77777777" w:rsidR="00C14632" w:rsidRDefault="00C14632" w:rsidP="00C14632">
      <w:pPr>
        <w:spacing w:before="60" w:line="265" w:lineRule="auto"/>
        <w:ind w:left="2124" w:right="4" w:firstLine="708"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IČO: 61974757</w:t>
      </w:r>
    </w:p>
    <w:p w14:paraId="0A459505" w14:textId="77777777" w:rsidR="00C14632" w:rsidRDefault="00C14632" w:rsidP="00C14632">
      <w:pPr>
        <w:spacing w:before="60" w:line="265" w:lineRule="auto"/>
        <w:ind w:right="4"/>
        <w:rPr>
          <w:rFonts w:asciiTheme="minorHAnsi" w:hAnsiTheme="minorHAnsi" w:cs="Arial"/>
          <w:sz w:val="22"/>
          <w:szCs w:val="22"/>
          <w:lang w:eastAsia="ar-SA"/>
        </w:rPr>
      </w:pPr>
    </w:p>
    <w:p w14:paraId="2A7288D4" w14:textId="77777777" w:rsidR="00CB3794" w:rsidRPr="00C14632" w:rsidRDefault="00CB3794" w:rsidP="00C14632">
      <w:pPr>
        <w:spacing w:before="60" w:line="265" w:lineRule="auto"/>
        <w:ind w:left="2832" w:right="4" w:hanging="2265"/>
        <w:rPr>
          <w:rFonts w:asciiTheme="minorHAnsi" w:hAnsiTheme="minorHAnsi" w:cs="Arial"/>
          <w:sz w:val="22"/>
          <w:szCs w:val="22"/>
          <w:lang w:eastAsia="ar-SA"/>
        </w:rPr>
      </w:pPr>
      <w:r w:rsidRPr="000D3E50">
        <w:rPr>
          <w:rFonts w:asciiTheme="minorHAnsi" w:hAnsiTheme="minorHAnsi" w:cs="Arial"/>
          <w:sz w:val="22"/>
          <w:szCs w:val="22"/>
          <w:u w:val="single"/>
        </w:rPr>
        <w:t>Pojištěným</w:t>
      </w:r>
      <w:r w:rsidR="00C14632">
        <w:rPr>
          <w:rFonts w:asciiTheme="minorHAnsi" w:hAnsiTheme="minorHAnsi" w:cs="Arial"/>
          <w:sz w:val="22"/>
          <w:szCs w:val="22"/>
          <w:u w:val="single"/>
        </w:rPr>
        <w:t>i</w:t>
      </w:r>
      <w:r w:rsidRPr="000D3E50">
        <w:rPr>
          <w:rFonts w:asciiTheme="minorHAnsi" w:hAnsiTheme="minorHAnsi" w:cs="Arial"/>
          <w:sz w:val="22"/>
          <w:szCs w:val="22"/>
          <w:u w:val="single"/>
        </w:rPr>
        <w:t xml:space="preserve"> jsou:</w:t>
      </w:r>
      <w:r w:rsidRPr="000D3E50">
        <w:rPr>
          <w:rFonts w:asciiTheme="minorHAnsi" w:hAnsiTheme="minorHAnsi" w:cs="Arial"/>
          <w:sz w:val="22"/>
          <w:szCs w:val="22"/>
        </w:rPr>
        <w:t xml:space="preserve"> </w:t>
      </w:r>
      <w:r w:rsidR="00C14632">
        <w:rPr>
          <w:rFonts w:asciiTheme="minorHAnsi" w:hAnsiTheme="minorHAnsi" w:cs="Arial"/>
          <w:sz w:val="22"/>
          <w:szCs w:val="22"/>
        </w:rPr>
        <w:tab/>
      </w:r>
      <w:r w:rsidR="00E741CD">
        <w:rPr>
          <w:rFonts w:asciiTheme="minorHAnsi" w:hAnsiTheme="minorHAnsi" w:cs="Arial"/>
          <w:sz w:val="22"/>
          <w:szCs w:val="22"/>
        </w:rPr>
        <w:t>V</w:t>
      </w:r>
      <w:r w:rsidRPr="000D3E50">
        <w:rPr>
          <w:rFonts w:asciiTheme="minorHAnsi" w:hAnsiTheme="minorHAnsi" w:cs="Arial"/>
          <w:sz w:val="22"/>
          <w:szCs w:val="22"/>
        </w:rPr>
        <w:t xml:space="preserve">šichni zaměstnanci pojistníka, a to po dobu trvání pracovněprávního </w:t>
      </w:r>
      <w:r w:rsidR="00E741CD">
        <w:rPr>
          <w:rFonts w:asciiTheme="minorHAnsi" w:hAnsiTheme="minorHAnsi" w:cs="Arial"/>
          <w:sz w:val="22"/>
          <w:szCs w:val="22"/>
        </w:rPr>
        <w:t>vztahu k pojistníkovi (včetně pracovněprávních vztahů založených dohodou o provedení práce nebo dohodou o pracovní činnosti).</w:t>
      </w:r>
    </w:p>
    <w:p w14:paraId="06F806B5" w14:textId="77777777" w:rsidR="00080F18" w:rsidRPr="000D3E50" w:rsidRDefault="00E741CD" w:rsidP="00CB3794">
      <w:pPr>
        <w:tabs>
          <w:tab w:val="left" w:pos="2835"/>
        </w:tabs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</w:p>
    <w:p w14:paraId="7426117C" w14:textId="77777777" w:rsidR="001F67DA" w:rsidRPr="000D3E50" w:rsidRDefault="001F67DA" w:rsidP="00CB3794">
      <w:pPr>
        <w:tabs>
          <w:tab w:val="left" w:pos="2835"/>
        </w:tabs>
        <w:jc w:val="both"/>
        <w:rPr>
          <w:rFonts w:asciiTheme="minorHAnsi" w:hAnsiTheme="minorHAnsi" w:cs="Arial"/>
          <w:bCs/>
          <w:sz w:val="22"/>
          <w:szCs w:val="22"/>
        </w:rPr>
      </w:pPr>
    </w:p>
    <w:p w14:paraId="7379CA0A" w14:textId="77777777" w:rsidR="00CB3794" w:rsidRPr="000D3E50" w:rsidRDefault="00CB3794" w:rsidP="00A626EE">
      <w:pPr>
        <w:pStyle w:val="Nadpis10"/>
        <w:numPr>
          <w:ilvl w:val="0"/>
          <w:numId w:val="2"/>
        </w:numPr>
        <w:tabs>
          <w:tab w:val="left" w:pos="567"/>
        </w:tabs>
        <w:ind w:left="567" w:hanging="567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>PŘEDMĚT POJIŠTĚNÍ</w:t>
      </w:r>
    </w:p>
    <w:p w14:paraId="2248D58D" w14:textId="77777777" w:rsidR="00CB3794" w:rsidRPr="000D3E50" w:rsidRDefault="00CB3794" w:rsidP="00CB3794">
      <w:pPr>
        <w:spacing w:before="60"/>
        <w:ind w:left="567" w:hanging="27"/>
        <w:jc w:val="both"/>
        <w:rPr>
          <w:rFonts w:asciiTheme="minorHAnsi" w:hAnsiTheme="minorHAnsi" w:cs="Arial"/>
          <w:sz w:val="22"/>
          <w:szCs w:val="22"/>
        </w:rPr>
      </w:pPr>
      <w:r w:rsidRPr="000D3E50">
        <w:rPr>
          <w:rFonts w:asciiTheme="minorHAnsi" w:hAnsiTheme="minorHAnsi" w:cs="Arial"/>
          <w:sz w:val="22"/>
          <w:szCs w:val="22"/>
        </w:rPr>
        <w:t>Pojištění se vztahuje na odpovědnost za ú</w:t>
      </w:r>
      <w:r w:rsidR="00C65D30" w:rsidRPr="000D3E50">
        <w:rPr>
          <w:rFonts w:asciiTheme="minorHAnsi" w:hAnsiTheme="minorHAnsi" w:cs="Arial"/>
          <w:sz w:val="22"/>
          <w:szCs w:val="22"/>
        </w:rPr>
        <w:t xml:space="preserve">jmu způsobenou při plnění úkolů </w:t>
      </w:r>
      <w:r w:rsidRPr="000D3E50">
        <w:rPr>
          <w:rFonts w:asciiTheme="minorHAnsi" w:hAnsiTheme="minorHAnsi" w:cs="Arial"/>
          <w:sz w:val="22"/>
          <w:szCs w:val="22"/>
        </w:rPr>
        <w:t>v</w:t>
      </w:r>
      <w:r w:rsidR="00080F18" w:rsidRPr="000D3E50">
        <w:rPr>
          <w:rFonts w:asciiTheme="minorHAnsi" w:hAnsiTheme="minorHAnsi" w:cs="Arial"/>
          <w:sz w:val="22"/>
          <w:szCs w:val="22"/>
        </w:rPr>
        <w:t> </w:t>
      </w:r>
      <w:r w:rsidRPr="000D3E50">
        <w:rPr>
          <w:rFonts w:asciiTheme="minorHAnsi" w:hAnsiTheme="minorHAnsi" w:cs="Arial"/>
          <w:sz w:val="22"/>
          <w:szCs w:val="22"/>
        </w:rPr>
        <w:t>pracovněprávním nebo služebním vztahu nebo v přímé souvislosti s ním, za kterou zaměstnanec svému zaměstnavateli odpovídá podle ustanovení zákoníku práce nebo obdobného právního předpisu České republiky.</w:t>
      </w:r>
    </w:p>
    <w:p w14:paraId="5F3535B2" w14:textId="77777777" w:rsidR="00CB3794" w:rsidRPr="000D3E50" w:rsidRDefault="00CB3794" w:rsidP="00CB3794">
      <w:pPr>
        <w:tabs>
          <w:tab w:val="left" w:pos="2835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759E5B4" w14:textId="77777777" w:rsidR="00CB3794" w:rsidRPr="000D3E50" w:rsidRDefault="00CB3794" w:rsidP="00CB3794">
      <w:pPr>
        <w:tabs>
          <w:tab w:val="left" w:pos="2835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>Předpokladem vzniku práva na pojistné plnění je, že k pojistné události došlo v době trvání pojištění.</w:t>
      </w:r>
    </w:p>
    <w:p w14:paraId="6ECDDD6A" w14:textId="77777777" w:rsidR="00CB3794" w:rsidRPr="000D3E50" w:rsidRDefault="00CB3794" w:rsidP="00CB3794">
      <w:pPr>
        <w:spacing w:before="60"/>
        <w:ind w:left="567" w:hanging="27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AB42018" w14:textId="77777777" w:rsidR="00CB3794" w:rsidRPr="000D3E50" w:rsidRDefault="00CB3794" w:rsidP="00CB3794">
      <w:pPr>
        <w:jc w:val="both"/>
        <w:rPr>
          <w:rFonts w:asciiTheme="minorHAnsi" w:hAnsiTheme="minorHAnsi" w:cs="Arial"/>
          <w:sz w:val="22"/>
          <w:szCs w:val="22"/>
        </w:rPr>
      </w:pPr>
      <w:r w:rsidRPr="000D3E50">
        <w:rPr>
          <w:rFonts w:asciiTheme="minorHAnsi" w:hAnsiTheme="minorHAnsi" w:cs="Arial"/>
          <w:sz w:val="22"/>
          <w:szCs w:val="22"/>
        </w:rPr>
        <w:tab/>
      </w:r>
    </w:p>
    <w:p w14:paraId="1B402AD6" w14:textId="77777777" w:rsidR="00A626EE" w:rsidRPr="000D3E50" w:rsidRDefault="00A626EE" w:rsidP="00CB3794">
      <w:pPr>
        <w:jc w:val="both"/>
        <w:rPr>
          <w:rFonts w:asciiTheme="minorHAnsi" w:hAnsiTheme="minorHAnsi" w:cs="Arial"/>
          <w:sz w:val="22"/>
          <w:szCs w:val="22"/>
        </w:rPr>
      </w:pPr>
    </w:p>
    <w:p w14:paraId="07B81FB9" w14:textId="77777777" w:rsidR="00CB3794" w:rsidRPr="000D3E50" w:rsidRDefault="00CB3794" w:rsidP="00CB3794">
      <w:pPr>
        <w:pStyle w:val="Nadpis10"/>
        <w:numPr>
          <w:ilvl w:val="0"/>
          <w:numId w:val="9"/>
        </w:numPr>
        <w:tabs>
          <w:tab w:val="left" w:pos="567"/>
        </w:tabs>
        <w:ind w:hanging="930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>ROZSAH POJIŠTĚNÍ</w:t>
      </w:r>
    </w:p>
    <w:p w14:paraId="3DA5B6BA" w14:textId="77777777" w:rsidR="00CB3794" w:rsidRPr="000D3E50" w:rsidRDefault="00CB3794" w:rsidP="00CB3794">
      <w:pPr>
        <w:tabs>
          <w:tab w:val="left" w:pos="2835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>Pojistnou událostí je vznik povinnosti pojištěného nahradit vzniklou škodu, popřípadě i jinou újmu.</w:t>
      </w:r>
    </w:p>
    <w:p w14:paraId="195FD218" w14:textId="77777777" w:rsidR="00CB3794" w:rsidRPr="000D3E50" w:rsidRDefault="00CB3794" w:rsidP="00CB3794">
      <w:pPr>
        <w:tabs>
          <w:tab w:val="left" w:pos="2835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C0B9201" w14:textId="77777777" w:rsidR="00CB3794" w:rsidRPr="000D3E50" w:rsidRDefault="00CB3794" w:rsidP="00CB3794">
      <w:pPr>
        <w:tabs>
          <w:tab w:val="left" w:pos="2835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>Pojištění se sjednává pro případ právním předpisem stanovené povinnosti pojištěného nahradit:</w:t>
      </w:r>
    </w:p>
    <w:p w14:paraId="32ECD514" w14:textId="77777777" w:rsidR="00CB3794" w:rsidRPr="000D3E50" w:rsidRDefault="00CB3794" w:rsidP="00CB3794">
      <w:pPr>
        <w:numPr>
          <w:ilvl w:val="0"/>
          <w:numId w:val="10"/>
        </w:numPr>
        <w:tabs>
          <w:tab w:val="left" w:pos="2268"/>
        </w:tabs>
        <w:ind w:left="1843" w:firstLine="142"/>
        <w:jc w:val="both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>újmu vzniklou jiné osobě při ublížení na zdraví nebo usmrcení;</w:t>
      </w:r>
    </w:p>
    <w:p w14:paraId="42B73A41" w14:textId="77777777" w:rsidR="00CB3794" w:rsidRPr="000D3E50" w:rsidRDefault="00CB3794" w:rsidP="00CB3794">
      <w:pPr>
        <w:numPr>
          <w:ilvl w:val="0"/>
          <w:numId w:val="10"/>
        </w:numPr>
        <w:tabs>
          <w:tab w:val="left" w:pos="1701"/>
          <w:tab w:val="left" w:pos="2268"/>
        </w:tabs>
        <w:ind w:left="2268" w:hanging="283"/>
        <w:jc w:val="both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>škodu vzniklou jiné osobě poškozením nebo zničením hmotné věci, kterou má tato osoba ve vlastnictví, v užívání nebo ji má oprávněně u</w:t>
      </w:r>
      <w:r w:rsidR="00080F18" w:rsidRPr="000D3E50">
        <w:rPr>
          <w:rFonts w:asciiTheme="minorHAnsi" w:hAnsiTheme="minorHAnsi" w:cs="Arial"/>
          <w:bCs/>
          <w:sz w:val="22"/>
          <w:szCs w:val="22"/>
        </w:rPr>
        <w:t> </w:t>
      </w:r>
      <w:r w:rsidRPr="000D3E50">
        <w:rPr>
          <w:rFonts w:asciiTheme="minorHAnsi" w:hAnsiTheme="minorHAnsi" w:cs="Arial"/>
          <w:bCs/>
          <w:sz w:val="22"/>
          <w:szCs w:val="22"/>
        </w:rPr>
        <w:t>sebe z jakéhokoliv jiného právního titulu;</w:t>
      </w:r>
    </w:p>
    <w:p w14:paraId="0A42AF3A" w14:textId="77777777" w:rsidR="00CB3794" w:rsidRPr="000D3E50" w:rsidRDefault="00CB3794" w:rsidP="00CB3794">
      <w:pPr>
        <w:numPr>
          <w:ilvl w:val="0"/>
          <w:numId w:val="10"/>
        </w:numPr>
        <w:tabs>
          <w:tab w:val="left" w:pos="1701"/>
          <w:tab w:val="left" w:pos="2268"/>
        </w:tabs>
        <w:ind w:left="2268" w:hanging="283"/>
        <w:jc w:val="both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>škodu finanční (následnou finanční škodu a čistou finanční škodu),</w:t>
      </w:r>
    </w:p>
    <w:p w14:paraId="3B48EEDB" w14:textId="77777777" w:rsidR="00CB3794" w:rsidRPr="000D3E50" w:rsidRDefault="00CB3794" w:rsidP="00CB3794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</w:p>
    <w:p w14:paraId="78001688" w14:textId="77777777" w:rsidR="00CB3794" w:rsidRPr="000D3E50" w:rsidRDefault="00CB3794" w:rsidP="00CB3794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 xml:space="preserve">Pojištění se pro zaměstnance, kteří řídí nebo mohou řídit dopravní prostředek zaměstnavatele, vztahuje </w:t>
      </w:r>
      <w:r w:rsidR="005604D3">
        <w:rPr>
          <w:rFonts w:asciiTheme="minorHAnsi" w:hAnsiTheme="minorHAnsi" w:cs="Arial"/>
          <w:bCs/>
          <w:sz w:val="22"/>
          <w:szCs w:val="22"/>
        </w:rPr>
        <w:t xml:space="preserve">i </w:t>
      </w:r>
      <w:r w:rsidRPr="000D3E50">
        <w:rPr>
          <w:rFonts w:asciiTheme="minorHAnsi" w:hAnsiTheme="minorHAnsi" w:cs="Arial"/>
          <w:bCs/>
          <w:sz w:val="22"/>
          <w:szCs w:val="22"/>
        </w:rPr>
        <w:t>na škodu vzniklou v souvislosti s řízením dopravního prostředku.</w:t>
      </w:r>
    </w:p>
    <w:p w14:paraId="366D4A7B" w14:textId="77777777" w:rsidR="00FD4B96" w:rsidRPr="000D3E50" w:rsidRDefault="00FD4B96" w:rsidP="00CB3794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9CF19E4" w14:textId="77777777" w:rsidR="00FD4B96" w:rsidRPr="000D3E50" w:rsidRDefault="00FD4B96" w:rsidP="00FD4B96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>Pojištění se sjednává s limitem pojistného plnění ve výši 4,5 násobku průměrné hrubé měsíční mzdy pro každého zaměstnance.</w:t>
      </w:r>
    </w:p>
    <w:p w14:paraId="39210510" w14:textId="77777777" w:rsidR="00FD4B96" w:rsidRPr="000D3E50" w:rsidRDefault="00FD4B96" w:rsidP="00FD4B96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2CC0A5C" w14:textId="77777777" w:rsidR="00FD4B96" w:rsidRPr="000D3E50" w:rsidRDefault="00FD4B96" w:rsidP="00FD4B96">
      <w:pPr>
        <w:tabs>
          <w:tab w:val="left" w:pos="1701"/>
          <w:tab w:val="left" w:pos="2268"/>
        </w:tabs>
        <w:ind w:left="567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>Pojištění se sjednává s</w:t>
      </w:r>
      <w:r w:rsidR="00EC2FEE">
        <w:rPr>
          <w:rFonts w:asciiTheme="minorHAnsi" w:hAnsiTheme="minorHAnsi" w:cs="Arial"/>
          <w:bCs/>
          <w:sz w:val="22"/>
          <w:szCs w:val="22"/>
        </w:rPr>
        <w:t xml:space="preserve"> ročním limitem plnění </w:t>
      </w:r>
      <w:r w:rsidRPr="000D3E50">
        <w:rPr>
          <w:rFonts w:asciiTheme="minorHAnsi" w:hAnsiTheme="minorHAnsi" w:cs="Arial"/>
          <w:bCs/>
          <w:sz w:val="22"/>
          <w:szCs w:val="22"/>
        </w:rPr>
        <w:t>(na jednoho zaměstnance)</w:t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Pr="000D3E50">
        <w:rPr>
          <w:rFonts w:asciiTheme="minorHAnsi" w:hAnsiTheme="minorHAnsi" w:cs="Arial"/>
          <w:bCs/>
          <w:sz w:val="22"/>
          <w:szCs w:val="22"/>
        </w:rPr>
        <w:tab/>
        <w:t>300 000 Kč</w:t>
      </w:r>
    </w:p>
    <w:p w14:paraId="28B63334" w14:textId="77777777" w:rsidR="00FD4B96" w:rsidRPr="000D3E50" w:rsidRDefault="00FD4B96" w:rsidP="00FD4B96">
      <w:pPr>
        <w:tabs>
          <w:tab w:val="left" w:pos="1701"/>
          <w:tab w:val="left" w:pos="2268"/>
        </w:tabs>
        <w:ind w:left="567"/>
        <w:rPr>
          <w:rFonts w:asciiTheme="minorHAnsi" w:hAnsiTheme="minorHAnsi" w:cs="Arial"/>
          <w:bCs/>
          <w:sz w:val="22"/>
          <w:szCs w:val="22"/>
        </w:rPr>
      </w:pPr>
    </w:p>
    <w:p w14:paraId="70D72C2D" w14:textId="77777777" w:rsidR="00FD4B96" w:rsidRPr="000D3E50" w:rsidRDefault="00FD4B96" w:rsidP="00FD4B96">
      <w:pPr>
        <w:tabs>
          <w:tab w:val="left" w:pos="1701"/>
          <w:tab w:val="left" w:pos="2268"/>
        </w:tabs>
        <w:ind w:left="567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 xml:space="preserve">Pojištění se sjednává s územním rozsahem </w:t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Pr="000D3E50">
        <w:rPr>
          <w:rFonts w:asciiTheme="minorHAnsi" w:hAnsiTheme="minorHAnsi" w:cs="Arial"/>
          <w:bCs/>
          <w:sz w:val="22"/>
          <w:szCs w:val="22"/>
        </w:rPr>
        <w:tab/>
        <w:t>Evropa</w:t>
      </w:r>
    </w:p>
    <w:p w14:paraId="09C6B5D5" w14:textId="77777777" w:rsidR="00FD4B96" w:rsidRPr="000D3E50" w:rsidRDefault="00FD4B96" w:rsidP="00FD4B96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</w:p>
    <w:p w14:paraId="273A6D0B" w14:textId="77777777" w:rsidR="00FD4B96" w:rsidRPr="000D3E50" w:rsidRDefault="00FD4B96" w:rsidP="00FD4B96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  <w:r w:rsidRPr="000D3E50">
        <w:rPr>
          <w:rFonts w:asciiTheme="minorHAnsi" w:hAnsiTheme="minorHAnsi" w:cs="Arial"/>
          <w:bCs/>
          <w:sz w:val="22"/>
          <w:szCs w:val="22"/>
        </w:rPr>
        <w:t>Pojištění se sjednává se spoluúčastí ve výši</w:t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Pr="000D3E50">
        <w:rPr>
          <w:rFonts w:asciiTheme="minorHAnsi" w:hAnsiTheme="minorHAnsi" w:cs="Arial"/>
          <w:bCs/>
          <w:sz w:val="22"/>
          <w:szCs w:val="22"/>
        </w:rPr>
        <w:tab/>
      </w:r>
      <w:r w:rsidR="00E741CD">
        <w:rPr>
          <w:rFonts w:asciiTheme="minorHAnsi" w:hAnsiTheme="minorHAnsi" w:cs="Arial"/>
          <w:bCs/>
          <w:sz w:val="22"/>
          <w:szCs w:val="22"/>
        </w:rPr>
        <w:t>2</w:t>
      </w:r>
      <w:r w:rsidRPr="000D3E50">
        <w:rPr>
          <w:rFonts w:asciiTheme="minorHAnsi" w:hAnsiTheme="minorHAnsi" w:cs="Arial"/>
          <w:bCs/>
          <w:sz w:val="22"/>
          <w:szCs w:val="22"/>
        </w:rPr>
        <w:t> 000 Kč</w:t>
      </w:r>
    </w:p>
    <w:p w14:paraId="07760F79" w14:textId="77777777" w:rsidR="00FD4B96" w:rsidRPr="000D3E50" w:rsidRDefault="00FD4B96" w:rsidP="00CB3794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</w:p>
    <w:p w14:paraId="573C4B94" w14:textId="77777777" w:rsidR="00CB3794" w:rsidRPr="00F657A9" w:rsidRDefault="00E741CD" w:rsidP="00CB3794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  <w:r w:rsidRPr="00F657A9">
        <w:rPr>
          <w:rFonts w:asciiTheme="minorHAnsi" w:hAnsiTheme="minorHAnsi" w:cs="Arial"/>
          <w:bCs/>
          <w:sz w:val="22"/>
          <w:szCs w:val="22"/>
        </w:rPr>
        <w:t>Údaje k pojištění:</w:t>
      </w:r>
    </w:p>
    <w:p w14:paraId="3F2C5691" w14:textId="77777777" w:rsidR="00D007BA" w:rsidRPr="000D3E50" w:rsidRDefault="00D007BA" w:rsidP="00CB3794">
      <w:pPr>
        <w:tabs>
          <w:tab w:val="left" w:pos="1701"/>
          <w:tab w:val="left" w:pos="2268"/>
        </w:tabs>
        <w:ind w:left="567"/>
        <w:jc w:val="both"/>
        <w:rPr>
          <w:rFonts w:asciiTheme="minorHAnsi" w:hAnsiTheme="minorHAnsi" w:cs="Arial"/>
          <w:bCs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26"/>
        <w:gridCol w:w="1134"/>
        <w:gridCol w:w="918"/>
        <w:gridCol w:w="3827"/>
        <w:gridCol w:w="925"/>
      </w:tblGrid>
      <w:tr w:rsidR="00CB3794" w:rsidRPr="000D3E50" w14:paraId="5D736FD1" w14:textId="77777777" w:rsidTr="00532AC1">
        <w:trPr>
          <w:cantSplit/>
        </w:trPr>
        <w:tc>
          <w:tcPr>
            <w:tcW w:w="8784" w:type="dxa"/>
            <w:gridSpan w:val="5"/>
            <w:shd w:val="pct10" w:color="auto" w:fill="FFFFFF"/>
          </w:tcPr>
          <w:p w14:paraId="2301BE70" w14:textId="77777777" w:rsidR="00CB3794" w:rsidRPr="000D3E50" w:rsidRDefault="00CB3794" w:rsidP="002379C8">
            <w:pPr>
              <w:pStyle w:val="Nadpis1"/>
              <w:numPr>
                <w:ilvl w:val="0"/>
                <w:numId w:val="0"/>
              </w:numPr>
              <w:spacing w:before="1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D3E50">
              <w:rPr>
                <w:rFonts w:asciiTheme="minorHAnsi" w:hAnsiTheme="minorHAnsi"/>
                <w:color w:val="auto"/>
                <w:sz w:val="22"/>
                <w:szCs w:val="22"/>
              </w:rPr>
              <w:t>Přepočtený počet zaměstnanců za předchozí kalendářní rok</w:t>
            </w:r>
            <w:r w:rsidR="00532AC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(1 – 12/2018)</w:t>
            </w:r>
          </w:p>
        </w:tc>
        <w:tc>
          <w:tcPr>
            <w:tcW w:w="925" w:type="dxa"/>
            <w:shd w:val="pct10" w:color="auto" w:fill="FFFFFF"/>
            <w:vAlign w:val="center"/>
          </w:tcPr>
          <w:p w14:paraId="14F3864A" w14:textId="77777777" w:rsidR="00CB3794" w:rsidRPr="00532AC1" w:rsidRDefault="00532AC1" w:rsidP="00080F18">
            <w:pPr>
              <w:pStyle w:val="Nadpis1"/>
              <w:numPr>
                <w:ilvl w:val="0"/>
                <w:numId w:val="0"/>
              </w:numPr>
              <w:spacing w:before="120" w:after="0"/>
              <w:ind w:right="174"/>
              <w:jc w:val="center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532AC1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2001</w:t>
            </w:r>
          </w:p>
        </w:tc>
      </w:tr>
      <w:tr w:rsidR="00CB3794" w:rsidRPr="000D3E50" w14:paraId="6B4EBE48" w14:textId="77777777" w:rsidTr="00532AC1">
        <w:trPr>
          <w:cantSplit/>
        </w:trPr>
        <w:tc>
          <w:tcPr>
            <w:tcW w:w="8784" w:type="dxa"/>
            <w:gridSpan w:val="5"/>
            <w:shd w:val="pct10" w:color="auto" w:fill="FFFFFF"/>
          </w:tcPr>
          <w:p w14:paraId="309581D7" w14:textId="77777777" w:rsidR="00CB3794" w:rsidRPr="000D3E50" w:rsidRDefault="00CB3794" w:rsidP="002379C8">
            <w:pPr>
              <w:pStyle w:val="Nadpis1"/>
              <w:numPr>
                <w:ilvl w:val="0"/>
                <w:numId w:val="0"/>
              </w:numPr>
              <w:spacing w:before="1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D3E50">
              <w:rPr>
                <w:rFonts w:asciiTheme="minorHAnsi" w:hAnsiTheme="minorHAnsi"/>
                <w:color w:val="auto"/>
                <w:sz w:val="22"/>
                <w:szCs w:val="22"/>
              </w:rPr>
              <w:t>Počet fyzických osob – zaměstnanců, stav k 31.12. předchozího kalendářního roku</w:t>
            </w:r>
          </w:p>
        </w:tc>
        <w:tc>
          <w:tcPr>
            <w:tcW w:w="925" w:type="dxa"/>
            <w:shd w:val="pct10" w:color="auto" w:fill="FFFFFF"/>
            <w:vAlign w:val="center"/>
          </w:tcPr>
          <w:p w14:paraId="72A2D192" w14:textId="77777777" w:rsidR="00CB3794" w:rsidRPr="00532AC1" w:rsidRDefault="00532AC1" w:rsidP="00080F18">
            <w:pPr>
              <w:pStyle w:val="Nadpis1"/>
              <w:numPr>
                <w:ilvl w:val="0"/>
                <w:numId w:val="0"/>
              </w:numPr>
              <w:spacing w:before="120" w:after="0"/>
              <w:ind w:right="174"/>
              <w:jc w:val="center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532AC1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2437</w:t>
            </w:r>
          </w:p>
        </w:tc>
      </w:tr>
      <w:tr w:rsidR="00CB3794" w:rsidRPr="000D3E50" w14:paraId="5462C046" w14:textId="77777777" w:rsidTr="00532AC1">
        <w:trPr>
          <w:cantSplit/>
          <w:trHeight w:val="277"/>
        </w:trPr>
        <w:tc>
          <w:tcPr>
            <w:tcW w:w="779" w:type="dxa"/>
            <w:vMerge w:val="restart"/>
            <w:shd w:val="pct10" w:color="auto" w:fill="FFFFFF"/>
          </w:tcPr>
          <w:p w14:paraId="46E6ADE4" w14:textId="77777777" w:rsidR="00CB3794" w:rsidRPr="000D3E50" w:rsidRDefault="00CB3794" w:rsidP="002379C8">
            <w:pPr>
              <w:spacing w:before="48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A9E6A9" w14:textId="77777777" w:rsidR="00CB3794" w:rsidRPr="000D3E50" w:rsidRDefault="00CB3794" w:rsidP="002379C8">
            <w:pPr>
              <w:spacing w:before="48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005" w:type="dxa"/>
            <w:gridSpan w:val="4"/>
            <w:shd w:val="pct10" w:color="auto" w:fill="FFFFFF"/>
          </w:tcPr>
          <w:p w14:paraId="0302AB47" w14:textId="77777777" w:rsidR="00CB3794" w:rsidRPr="000D3E50" w:rsidRDefault="00CB3794" w:rsidP="002379C8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D3E50">
              <w:rPr>
                <w:rFonts w:asciiTheme="minorHAnsi" w:hAnsiTheme="minorHAnsi" w:cs="Arial"/>
                <w:sz w:val="22"/>
                <w:szCs w:val="22"/>
              </w:rPr>
              <w:t>počet zaměstnanců s průměrným hrubým měsíčním příjmem 50.000,- Kč a vyšším</w:t>
            </w:r>
          </w:p>
        </w:tc>
        <w:tc>
          <w:tcPr>
            <w:tcW w:w="925" w:type="dxa"/>
            <w:shd w:val="pct10" w:color="auto" w:fill="FFFFFF"/>
            <w:vAlign w:val="center"/>
          </w:tcPr>
          <w:p w14:paraId="18717A05" w14:textId="77777777" w:rsidR="00CB3794" w:rsidRPr="00532AC1" w:rsidRDefault="00532AC1" w:rsidP="002379C8">
            <w:pPr>
              <w:spacing w:before="120"/>
              <w:ind w:right="17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32AC1">
              <w:rPr>
                <w:rFonts w:asciiTheme="minorHAnsi" w:hAnsiTheme="minorHAnsi" w:cs="Arial"/>
                <w:sz w:val="22"/>
                <w:szCs w:val="22"/>
              </w:rPr>
              <w:t>35</w:t>
            </w:r>
          </w:p>
        </w:tc>
      </w:tr>
      <w:tr w:rsidR="00CB3794" w:rsidRPr="000D3E50" w14:paraId="7CEC0287" w14:textId="77777777" w:rsidTr="00532AC1">
        <w:trPr>
          <w:cantSplit/>
          <w:trHeight w:val="529"/>
        </w:trPr>
        <w:tc>
          <w:tcPr>
            <w:tcW w:w="779" w:type="dxa"/>
            <w:vMerge/>
            <w:shd w:val="pct10" w:color="auto" w:fill="FFFFFF"/>
          </w:tcPr>
          <w:p w14:paraId="6B771F95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pct10" w:color="auto" w:fill="FFFFFF"/>
            <w:vAlign w:val="center"/>
          </w:tcPr>
          <w:p w14:paraId="54039562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D3E50">
              <w:rPr>
                <w:rFonts w:asciiTheme="minorHAnsi" w:hAnsiTheme="minorHAnsi" w:cs="Arial"/>
                <w:sz w:val="22"/>
                <w:szCs w:val="22"/>
              </w:rPr>
              <w:t xml:space="preserve">počet zaměstnanců s průměrným hrubým </w:t>
            </w:r>
            <w:r w:rsidR="00532AC1">
              <w:rPr>
                <w:rFonts w:asciiTheme="minorHAnsi" w:hAnsiTheme="minorHAnsi" w:cs="Arial"/>
                <w:sz w:val="22"/>
                <w:szCs w:val="22"/>
              </w:rPr>
              <w:t>měsíčním příjmem do 16.599,- Kč</w:t>
            </w:r>
          </w:p>
        </w:tc>
        <w:tc>
          <w:tcPr>
            <w:tcW w:w="1134" w:type="dxa"/>
            <w:vMerge w:val="restart"/>
            <w:shd w:val="pct10" w:color="auto" w:fill="FFFFFF"/>
            <w:vAlign w:val="center"/>
          </w:tcPr>
          <w:p w14:paraId="2886ACFD" w14:textId="77777777" w:rsidR="00CB3794" w:rsidRPr="000D3E50" w:rsidRDefault="00532AC1" w:rsidP="00532AC1">
            <w:pPr>
              <w:spacing w:before="48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503</w:t>
            </w:r>
          </w:p>
        </w:tc>
        <w:tc>
          <w:tcPr>
            <w:tcW w:w="918" w:type="dxa"/>
            <w:vMerge w:val="restart"/>
            <w:shd w:val="pct10" w:color="auto" w:fill="FFFFFF"/>
            <w:vAlign w:val="center"/>
          </w:tcPr>
          <w:p w14:paraId="51A73E53" w14:textId="77777777" w:rsidR="00CB3794" w:rsidRPr="000D3E50" w:rsidRDefault="00CB3794" w:rsidP="00532A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80EDCE2" w14:textId="77777777" w:rsidR="00CB3794" w:rsidRPr="000D3E50" w:rsidRDefault="00CB3794" w:rsidP="00532A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3C7EB4" w14:textId="77777777" w:rsidR="00CB3794" w:rsidRPr="000D3E50" w:rsidRDefault="00CB3794" w:rsidP="00532A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3E50">
              <w:rPr>
                <w:rFonts w:asciiTheme="minorHAnsi" w:hAnsiTheme="minorHAnsi" w:cs="Arial"/>
                <w:sz w:val="22"/>
                <w:szCs w:val="22"/>
              </w:rPr>
              <w:t>a z toho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pct10" w:color="auto" w:fill="FFFFFF"/>
            <w:vAlign w:val="center"/>
          </w:tcPr>
          <w:p w14:paraId="64D5867F" w14:textId="77777777" w:rsidR="00CB3794" w:rsidRPr="000D3E50" w:rsidRDefault="00CB3794" w:rsidP="002379C8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D3E50">
              <w:rPr>
                <w:rFonts w:asciiTheme="minorHAnsi" w:hAnsiTheme="minorHAnsi" w:cs="Arial"/>
                <w:sz w:val="22"/>
                <w:szCs w:val="22"/>
              </w:rPr>
              <w:t>počet zaměstnanců, kteří neřídí dopravní prostředek zaměstnavatele</w:t>
            </w:r>
          </w:p>
        </w:tc>
        <w:tc>
          <w:tcPr>
            <w:tcW w:w="925" w:type="dxa"/>
            <w:tcBorders>
              <w:bottom w:val="single" w:sz="2" w:space="0" w:color="auto"/>
            </w:tcBorders>
            <w:shd w:val="pct10" w:color="auto" w:fill="FFFFFF"/>
            <w:vAlign w:val="center"/>
          </w:tcPr>
          <w:p w14:paraId="6E959E6F" w14:textId="77777777" w:rsidR="00CB3794" w:rsidRPr="00532AC1" w:rsidRDefault="00532AC1" w:rsidP="002379C8">
            <w:pPr>
              <w:spacing w:before="120"/>
              <w:ind w:right="17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32AC1">
              <w:rPr>
                <w:rFonts w:asciiTheme="minorHAnsi" w:hAnsiTheme="minorHAnsi" w:cs="Arial"/>
                <w:sz w:val="22"/>
                <w:szCs w:val="22"/>
              </w:rPr>
              <w:t>262</w:t>
            </w:r>
          </w:p>
        </w:tc>
      </w:tr>
      <w:tr w:rsidR="00CB3794" w:rsidRPr="000D3E50" w14:paraId="0F4CCC75" w14:textId="77777777" w:rsidTr="00532AC1">
        <w:trPr>
          <w:cantSplit/>
          <w:trHeight w:val="490"/>
        </w:trPr>
        <w:tc>
          <w:tcPr>
            <w:tcW w:w="779" w:type="dxa"/>
            <w:vMerge/>
            <w:shd w:val="pct10" w:color="auto" w:fill="FFFFFF"/>
          </w:tcPr>
          <w:p w14:paraId="0529FF24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pct10" w:color="auto" w:fill="FFFFFF"/>
            <w:vAlign w:val="center"/>
          </w:tcPr>
          <w:p w14:paraId="372DB290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pct10" w:color="auto" w:fill="FFFFFF"/>
            <w:vAlign w:val="center"/>
          </w:tcPr>
          <w:p w14:paraId="6F2817C6" w14:textId="77777777" w:rsidR="00CB3794" w:rsidRPr="000D3E50" w:rsidRDefault="00CB3794" w:rsidP="002379C8">
            <w:pPr>
              <w:spacing w:before="48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8" w:type="dxa"/>
            <w:vMerge/>
            <w:shd w:val="pct10" w:color="auto" w:fill="FFFFFF"/>
            <w:vAlign w:val="center"/>
          </w:tcPr>
          <w:p w14:paraId="7025027C" w14:textId="77777777" w:rsidR="00CB3794" w:rsidRPr="000D3E50" w:rsidRDefault="00CB3794" w:rsidP="00532A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nil"/>
            </w:tcBorders>
            <w:shd w:val="pct10" w:color="auto" w:fill="FFFFFF"/>
            <w:vAlign w:val="center"/>
          </w:tcPr>
          <w:p w14:paraId="56DD3D1E" w14:textId="77777777" w:rsidR="00CB3794" w:rsidRPr="000D3E50" w:rsidRDefault="00CB3794" w:rsidP="002379C8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D3E50">
              <w:rPr>
                <w:rFonts w:asciiTheme="minorHAnsi" w:hAnsiTheme="minorHAnsi" w:cs="Arial"/>
                <w:sz w:val="22"/>
                <w:szCs w:val="22"/>
              </w:rPr>
              <w:t xml:space="preserve">počet zaměstnanců, kteří řídí nebo mohou řídit dopravní prostředek zaměstnavatele </w:t>
            </w:r>
          </w:p>
        </w:tc>
        <w:tc>
          <w:tcPr>
            <w:tcW w:w="925" w:type="dxa"/>
            <w:tcBorders>
              <w:top w:val="single" w:sz="2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007E7B4C" w14:textId="77777777" w:rsidR="00CB3794" w:rsidRPr="00532AC1" w:rsidRDefault="00532AC1" w:rsidP="002379C8">
            <w:pPr>
              <w:spacing w:before="120"/>
              <w:ind w:right="17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32AC1">
              <w:rPr>
                <w:rFonts w:asciiTheme="minorHAnsi" w:hAnsiTheme="minorHAnsi" w:cs="Arial"/>
                <w:sz w:val="22"/>
                <w:szCs w:val="22"/>
              </w:rPr>
              <w:t>241</w:t>
            </w:r>
          </w:p>
        </w:tc>
      </w:tr>
      <w:tr w:rsidR="00CB3794" w:rsidRPr="000D3E50" w14:paraId="03BE5322" w14:textId="77777777" w:rsidTr="00532AC1">
        <w:trPr>
          <w:cantSplit/>
          <w:trHeight w:val="557"/>
        </w:trPr>
        <w:tc>
          <w:tcPr>
            <w:tcW w:w="779" w:type="dxa"/>
            <w:vMerge/>
            <w:shd w:val="pct10" w:color="auto" w:fill="FFFFFF"/>
          </w:tcPr>
          <w:p w14:paraId="104C60AD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pct10" w:color="auto" w:fill="FFFFFF"/>
            <w:vAlign w:val="center"/>
          </w:tcPr>
          <w:p w14:paraId="5D25865B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D3E50">
              <w:rPr>
                <w:rFonts w:asciiTheme="minorHAnsi" w:hAnsiTheme="minorHAnsi" w:cs="Arial"/>
                <w:sz w:val="22"/>
                <w:szCs w:val="22"/>
              </w:rPr>
              <w:t>počet zaměstnanců s průměrným hrubým měsíčním příjmem</w:t>
            </w:r>
            <w:r w:rsidR="00532AC1">
              <w:rPr>
                <w:rFonts w:asciiTheme="minorHAnsi" w:hAnsiTheme="minorHAnsi" w:cs="Arial"/>
                <w:sz w:val="22"/>
                <w:szCs w:val="22"/>
              </w:rPr>
              <w:t xml:space="preserve"> nad 16.600,- Kč do 49.999,- Kč</w:t>
            </w:r>
          </w:p>
        </w:tc>
        <w:tc>
          <w:tcPr>
            <w:tcW w:w="1134" w:type="dxa"/>
            <w:vMerge w:val="restart"/>
            <w:shd w:val="pct10" w:color="auto" w:fill="FFFFFF"/>
            <w:vAlign w:val="center"/>
          </w:tcPr>
          <w:p w14:paraId="03A0276B" w14:textId="77777777" w:rsidR="00CB3794" w:rsidRPr="000D3E50" w:rsidRDefault="00532AC1" w:rsidP="00532AC1">
            <w:pPr>
              <w:spacing w:before="48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1899</w:t>
            </w:r>
          </w:p>
        </w:tc>
        <w:tc>
          <w:tcPr>
            <w:tcW w:w="918" w:type="dxa"/>
            <w:vMerge w:val="restart"/>
            <w:shd w:val="pct10" w:color="auto" w:fill="FFFFFF"/>
            <w:vAlign w:val="center"/>
          </w:tcPr>
          <w:p w14:paraId="3214E147" w14:textId="77777777" w:rsidR="00CB3794" w:rsidRPr="000D3E50" w:rsidRDefault="00CB3794" w:rsidP="00532A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133D7A" w14:textId="77777777" w:rsidR="00CB3794" w:rsidRPr="000D3E50" w:rsidRDefault="00CB3794" w:rsidP="00532A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2A659D" w14:textId="77777777" w:rsidR="00CB3794" w:rsidRPr="000D3E50" w:rsidRDefault="00CB3794" w:rsidP="00532A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3E50">
              <w:rPr>
                <w:rFonts w:asciiTheme="minorHAnsi" w:hAnsiTheme="minorHAnsi" w:cs="Arial"/>
                <w:sz w:val="22"/>
                <w:szCs w:val="22"/>
              </w:rPr>
              <w:t>a z toho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shd w:val="pct10" w:color="auto" w:fill="FFFFFF"/>
            <w:vAlign w:val="center"/>
          </w:tcPr>
          <w:p w14:paraId="7488E7E9" w14:textId="77777777" w:rsidR="00CB3794" w:rsidRPr="000D3E50" w:rsidRDefault="00CB3794" w:rsidP="002379C8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D3E50">
              <w:rPr>
                <w:rFonts w:asciiTheme="minorHAnsi" w:hAnsiTheme="minorHAnsi" w:cs="Arial"/>
                <w:sz w:val="22"/>
                <w:szCs w:val="22"/>
              </w:rPr>
              <w:t xml:space="preserve">počet zaměstnanců, kteří neřídí dopravní prostředek zaměstnavatele </w:t>
            </w:r>
          </w:p>
        </w:tc>
        <w:tc>
          <w:tcPr>
            <w:tcW w:w="925" w:type="dxa"/>
            <w:tcBorders>
              <w:bottom w:val="single" w:sz="2" w:space="0" w:color="auto"/>
            </w:tcBorders>
            <w:shd w:val="pct10" w:color="auto" w:fill="FFFFFF"/>
            <w:vAlign w:val="center"/>
          </w:tcPr>
          <w:p w14:paraId="4335D878" w14:textId="77777777" w:rsidR="00CB3794" w:rsidRPr="00532AC1" w:rsidRDefault="00532AC1" w:rsidP="002379C8">
            <w:pPr>
              <w:spacing w:before="120"/>
              <w:ind w:right="17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32AC1">
              <w:rPr>
                <w:rFonts w:asciiTheme="minorHAnsi" w:hAnsiTheme="minorHAnsi" w:cs="Arial"/>
                <w:sz w:val="22"/>
                <w:szCs w:val="22"/>
              </w:rPr>
              <w:t>757</w:t>
            </w:r>
          </w:p>
        </w:tc>
      </w:tr>
      <w:tr w:rsidR="00CB3794" w:rsidRPr="000D3E50" w14:paraId="29991EAB" w14:textId="77777777" w:rsidTr="00532AC1">
        <w:trPr>
          <w:cantSplit/>
          <w:trHeight w:val="535"/>
        </w:trPr>
        <w:tc>
          <w:tcPr>
            <w:tcW w:w="779" w:type="dxa"/>
            <w:vMerge/>
            <w:shd w:val="pct10" w:color="auto" w:fill="FFFFFF"/>
          </w:tcPr>
          <w:p w14:paraId="3787E32B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pct10" w:color="auto" w:fill="FFFFFF"/>
            <w:vAlign w:val="center"/>
          </w:tcPr>
          <w:p w14:paraId="7322BBB7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pct10" w:color="auto" w:fill="FFFFFF"/>
            <w:vAlign w:val="center"/>
          </w:tcPr>
          <w:p w14:paraId="1688462E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8" w:type="dxa"/>
            <w:vMerge/>
            <w:shd w:val="pct10" w:color="auto" w:fill="FFFFFF"/>
            <w:vAlign w:val="center"/>
          </w:tcPr>
          <w:p w14:paraId="04F91F5E" w14:textId="77777777" w:rsidR="00CB3794" w:rsidRPr="000D3E50" w:rsidRDefault="00CB3794" w:rsidP="002379C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643505A7" w14:textId="77777777" w:rsidR="00CB3794" w:rsidRPr="000D3E50" w:rsidRDefault="00CB3794" w:rsidP="002379C8">
            <w:pPr>
              <w:spacing w:before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D3E50">
              <w:rPr>
                <w:rFonts w:asciiTheme="minorHAnsi" w:hAnsiTheme="minorHAnsi" w:cs="Arial"/>
                <w:sz w:val="22"/>
                <w:szCs w:val="22"/>
              </w:rPr>
              <w:t xml:space="preserve">počet zaměstnanců, kteří řídí nebo mohou řídit dopravní prostředek zaměstnavatele </w:t>
            </w:r>
          </w:p>
        </w:tc>
        <w:tc>
          <w:tcPr>
            <w:tcW w:w="925" w:type="dxa"/>
            <w:tcBorders>
              <w:top w:val="single" w:sz="2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6126D3D3" w14:textId="77777777" w:rsidR="00CB3794" w:rsidRPr="00532AC1" w:rsidRDefault="00532AC1" w:rsidP="002379C8">
            <w:pPr>
              <w:spacing w:before="120"/>
              <w:ind w:right="17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32AC1">
              <w:rPr>
                <w:rFonts w:asciiTheme="minorHAnsi" w:hAnsiTheme="minorHAnsi" w:cs="Arial"/>
                <w:sz w:val="22"/>
                <w:szCs w:val="22"/>
              </w:rPr>
              <w:t>1142</w:t>
            </w:r>
          </w:p>
        </w:tc>
      </w:tr>
    </w:tbl>
    <w:p w14:paraId="723A57DD" w14:textId="77777777" w:rsidR="00F657A9" w:rsidRDefault="00F657A9" w:rsidP="00F657A9">
      <w:pPr>
        <w:pStyle w:val="Nadpis10"/>
        <w:numPr>
          <w:ilvl w:val="0"/>
          <w:numId w:val="0"/>
        </w:numPr>
        <w:tabs>
          <w:tab w:val="left" w:pos="567"/>
        </w:tabs>
        <w:ind w:left="1800" w:hanging="360"/>
        <w:rPr>
          <w:rFonts w:asciiTheme="minorHAnsi" w:hAnsiTheme="minorHAnsi" w:cs="Arial"/>
          <w:color w:val="auto"/>
          <w:sz w:val="22"/>
          <w:szCs w:val="22"/>
        </w:rPr>
      </w:pPr>
    </w:p>
    <w:p w14:paraId="4349C002" w14:textId="77777777" w:rsidR="00CB3794" w:rsidRPr="000D3E50" w:rsidRDefault="00CB3794" w:rsidP="00CB3794">
      <w:pPr>
        <w:pStyle w:val="Nadpis10"/>
        <w:numPr>
          <w:ilvl w:val="0"/>
          <w:numId w:val="9"/>
        </w:numPr>
        <w:tabs>
          <w:tab w:val="left" w:pos="567"/>
        </w:tabs>
        <w:ind w:hanging="930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>ZVLÁŠTNÍ UJEDNÁNÍ</w:t>
      </w:r>
    </w:p>
    <w:p w14:paraId="7F57D6FA" w14:textId="77777777" w:rsidR="00CB3794" w:rsidRPr="000D3E50" w:rsidRDefault="00CB3794" w:rsidP="00CB3794">
      <w:pPr>
        <w:pStyle w:val="Zkladntext"/>
        <w:tabs>
          <w:tab w:val="left" w:pos="567"/>
        </w:tabs>
        <w:spacing w:before="80"/>
        <w:ind w:left="567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>Přepočteným počtem zaměstnanců se rozumí počet zaměstnanců získaný přepočtením pracovních úvazků fyzických osob (to jsou všichni zaměstnanci bez ohledu na délku pracovní doby) na zákonnou pracovní dobu.</w:t>
      </w:r>
    </w:p>
    <w:p w14:paraId="67DF353F" w14:textId="77777777" w:rsidR="00CB3794" w:rsidRPr="000D3E50" w:rsidRDefault="00CB3794" w:rsidP="00CB3794">
      <w:pPr>
        <w:pStyle w:val="Zkladntext"/>
        <w:tabs>
          <w:tab w:val="left" w:pos="567"/>
        </w:tabs>
        <w:spacing w:before="80"/>
        <w:ind w:left="567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>Ujednává se, že smluvní strany provedou do dvou měsíců od skončení příslušného pojistného roku zúčtování pojistného podle přepočteného počtu zaměstnanců za kalendářní rok, který skončí v průběhu daného pojistného roku, s použitím sazby pojistného za jednoho zaměstnance.</w:t>
      </w:r>
    </w:p>
    <w:p w14:paraId="790A989C" w14:textId="77777777" w:rsidR="00CB3794" w:rsidRPr="000D3E50" w:rsidRDefault="00CB3794" w:rsidP="00CB3794">
      <w:pPr>
        <w:pStyle w:val="Zkladntext"/>
        <w:tabs>
          <w:tab w:val="left" w:pos="567"/>
        </w:tabs>
        <w:spacing w:before="80"/>
        <w:ind w:left="567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>Za účelem ročního zúčtování pojistného se pojistník zavazuje do 30 dnů po skončení pojistného roku sdělit pojistiteli přepočtený počet zaměstnanců za kalendářní rok, který skončí v průběhu příslušného pojistného roku.</w:t>
      </w:r>
    </w:p>
    <w:p w14:paraId="268D9A00" w14:textId="77777777" w:rsidR="00CB3794" w:rsidRPr="000D3E50" w:rsidRDefault="00CB3794" w:rsidP="00CB3794">
      <w:pPr>
        <w:pStyle w:val="Zkladntext"/>
        <w:tabs>
          <w:tab w:val="left" w:pos="567"/>
        </w:tabs>
        <w:spacing w:before="80"/>
        <w:ind w:left="567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>Doplatek (přeplatek) pojistného po ukončení příslušného pojistného roku se stanoví na základě vyúčtování pojistného.</w:t>
      </w:r>
    </w:p>
    <w:p w14:paraId="2159B942" w14:textId="77777777" w:rsidR="00470A8D" w:rsidRPr="000D3E50" w:rsidRDefault="00470A8D" w:rsidP="00CB3794">
      <w:pPr>
        <w:pStyle w:val="Zkladntext"/>
        <w:tabs>
          <w:tab w:val="left" w:pos="567"/>
        </w:tabs>
        <w:spacing w:before="80"/>
        <w:ind w:left="567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761258">
        <w:rPr>
          <w:rFonts w:asciiTheme="minorHAnsi" w:hAnsiTheme="minorHAnsi" w:cs="Arial"/>
          <w:color w:val="auto"/>
          <w:sz w:val="22"/>
          <w:szCs w:val="22"/>
          <w:lang w:val="cs-CZ"/>
        </w:rPr>
        <w:t>Pojištění se vztahuje i na škodu způsobenou informací nebo radou.</w:t>
      </w:r>
    </w:p>
    <w:p w14:paraId="0A24E8DB" w14:textId="77777777" w:rsidR="00F7574A" w:rsidRPr="000D3E50" w:rsidRDefault="00F7574A" w:rsidP="00CB3794">
      <w:pPr>
        <w:pStyle w:val="Zkladntext"/>
        <w:tabs>
          <w:tab w:val="left" w:pos="567"/>
        </w:tabs>
        <w:spacing w:before="80"/>
        <w:ind w:left="567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D71ADA">
        <w:rPr>
          <w:rFonts w:asciiTheme="minorHAnsi" w:hAnsiTheme="minorHAnsi" w:cs="Arial"/>
          <w:color w:val="auto"/>
          <w:sz w:val="22"/>
          <w:szCs w:val="22"/>
        </w:rPr>
        <w:t>Pro finanční škody se ujednává, že k příčině vzniku škody mohlo</w:t>
      </w:r>
      <w:r w:rsidRPr="00D71AD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dojít </w:t>
      </w:r>
      <w:r w:rsidR="005604D3" w:rsidRPr="00D71ADA">
        <w:rPr>
          <w:rFonts w:asciiTheme="minorHAnsi" w:hAnsiTheme="minorHAnsi" w:cs="Arial"/>
          <w:color w:val="auto"/>
          <w:sz w:val="22"/>
          <w:szCs w:val="22"/>
          <w:lang w:val="cs-CZ"/>
        </w:rPr>
        <w:t>od 1. 4. 2019.</w:t>
      </w:r>
    </w:p>
    <w:p w14:paraId="4505BECC" w14:textId="77777777" w:rsidR="00F657A9" w:rsidRPr="000D3E50" w:rsidRDefault="00F657A9" w:rsidP="00CB3794">
      <w:pPr>
        <w:tabs>
          <w:tab w:val="left" w:pos="567"/>
        </w:tabs>
        <w:jc w:val="both"/>
        <w:rPr>
          <w:rFonts w:asciiTheme="minorHAnsi" w:hAnsiTheme="minorHAnsi" w:cs="Arial"/>
          <w:bCs/>
          <w:sz w:val="22"/>
          <w:szCs w:val="22"/>
        </w:rPr>
      </w:pPr>
    </w:p>
    <w:p w14:paraId="08757C84" w14:textId="77777777" w:rsidR="00CB3794" w:rsidRDefault="00CB3794" w:rsidP="00CB3794">
      <w:pPr>
        <w:pStyle w:val="Nadpis10"/>
        <w:numPr>
          <w:ilvl w:val="0"/>
          <w:numId w:val="9"/>
        </w:numPr>
        <w:tabs>
          <w:tab w:val="left" w:pos="567"/>
        </w:tabs>
        <w:ind w:hanging="930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>MAkléřská Doložka</w:t>
      </w:r>
      <w:r w:rsidRPr="000D3E50">
        <w:rPr>
          <w:rFonts w:asciiTheme="minorHAnsi" w:hAnsiTheme="minorHAnsi" w:cs="Arial"/>
          <w:color w:val="auto"/>
          <w:sz w:val="22"/>
          <w:szCs w:val="22"/>
        </w:rPr>
        <w:tab/>
      </w:r>
    </w:p>
    <w:p w14:paraId="1E3696B7" w14:textId="6B0A715A" w:rsidR="00845B9C" w:rsidRDefault="00CB3794" w:rsidP="00845B9C">
      <w:pPr>
        <w:pStyle w:val="Text11"/>
        <w:numPr>
          <w:ilvl w:val="0"/>
          <w:numId w:val="0"/>
        </w:numPr>
        <w:spacing w:after="0"/>
        <w:ind w:left="567" w:hanging="567"/>
        <w:rPr>
          <w:rFonts w:asciiTheme="minorHAnsi" w:hAnsiTheme="minorHAnsi" w:cs="Arial"/>
          <w:b w:val="0"/>
          <w:caps w:val="0"/>
          <w:sz w:val="22"/>
          <w:szCs w:val="22"/>
        </w:rPr>
      </w:pPr>
      <w:r w:rsidRPr="000D3E50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ab/>
      </w:r>
      <w:r w:rsidR="00EC2FEE">
        <w:rPr>
          <w:rFonts w:asciiTheme="minorHAnsi" w:hAnsiTheme="minorHAnsi" w:cs="Arial"/>
          <w:b w:val="0"/>
          <w:caps w:val="0"/>
          <w:sz w:val="22"/>
          <w:szCs w:val="22"/>
        </w:rPr>
        <w:t xml:space="preserve">Pojistník pověřuje </w:t>
      </w:r>
      <w:r w:rsidR="005604D3">
        <w:rPr>
          <w:rFonts w:asciiTheme="minorHAnsi" w:hAnsiTheme="minorHAnsi" w:cs="Arial"/>
          <w:b w:val="0"/>
          <w:caps w:val="0"/>
          <w:sz w:val="22"/>
          <w:szCs w:val="22"/>
        </w:rPr>
        <w:t xml:space="preserve">výhradně </w:t>
      </w:r>
      <w:r w:rsidR="00EC2FEE">
        <w:rPr>
          <w:rFonts w:asciiTheme="minorHAnsi" w:hAnsiTheme="minorHAnsi" w:cs="Arial"/>
          <w:b w:val="0"/>
          <w:caps w:val="0"/>
          <w:sz w:val="22"/>
          <w:szCs w:val="22"/>
        </w:rPr>
        <w:t>pojišťovací makléřskou</w:t>
      </w:r>
      <w:r w:rsidRPr="000D3E50">
        <w:rPr>
          <w:rFonts w:asciiTheme="minorHAnsi" w:hAnsiTheme="minorHAnsi" w:cs="Arial"/>
          <w:b w:val="0"/>
          <w:caps w:val="0"/>
          <w:sz w:val="22"/>
          <w:szCs w:val="22"/>
        </w:rPr>
        <w:t xml:space="preserve"> společnost SATUM CZECH s.r.o.,</w:t>
      </w:r>
      <w:r w:rsidR="005604D3">
        <w:rPr>
          <w:rFonts w:asciiTheme="minorHAnsi" w:hAnsiTheme="minorHAnsi" w:cs="Arial"/>
          <w:b w:val="0"/>
          <w:caps w:val="0"/>
          <w:sz w:val="22"/>
          <w:szCs w:val="22"/>
        </w:rPr>
        <w:t xml:space="preserve"> se sídlem Porážková 1424/20, Moravská Ostrava, 702 00 Ostrava, </w:t>
      </w:r>
      <w:r w:rsidRPr="000D3E50">
        <w:rPr>
          <w:rFonts w:asciiTheme="minorHAnsi" w:hAnsiTheme="minorHAnsi" w:cs="Arial"/>
          <w:b w:val="0"/>
          <w:caps w:val="0"/>
          <w:sz w:val="22"/>
          <w:szCs w:val="22"/>
        </w:rPr>
        <w:t>IČ</w:t>
      </w:r>
      <w:r w:rsidR="00EC2FEE">
        <w:rPr>
          <w:rFonts w:asciiTheme="minorHAnsi" w:hAnsiTheme="minorHAnsi" w:cs="Arial"/>
          <w:b w:val="0"/>
          <w:caps w:val="0"/>
          <w:sz w:val="22"/>
          <w:szCs w:val="22"/>
        </w:rPr>
        <w:t>O</w:t>
      </w:r>
      <w:r w:rsidRPr="000D3E50">
        <w:rPr>
          <w:rFonts w:asciiTheme="minorHAnsi" w:hAnsiTheme="minorHAnsi" w:cs="Arial"/>
          <w:b w:val="0"/>
          <w:caps w:val="0"/>
          <w:sz w:val="22"/>
          <w:szCs w:val="22"/>
        </w:rPr>
        <w:t xml:space="preserve">: 25373951 </w:t>
      </w:r>
      <w:r w:rsidR="005604D3">
        <w:rPr>
          <w:rFonts w:asciiTheme="minorHAnsi" w:hAnsiTheme="minorHAnsi" w:cs="Arial"/>
          <w:b w:val="0"/>
          <w:caps w:val="0"/>
          <w:sz w:val="22"/>
          <w:szCs w:val="22"/>
        </w:rPr>
        <w:t xml:space="preserve">(dále jen „makléř“), </w:t>
      </w:r>
      <w:r w:rsidRPr="000D3E50">
        <w:rPr>
          <w:rFonts w:asciiTheme="minorHAnsi" w:hAnsiTheme="minorHAnsi" w:cs="Arial"/>
          <w:b w:val="0"/>
          <w:caps w:val="0"/>
          <w:sz w:val="22"/>
          <w:szCs w:val="22"/>
        </w:rPr>
        <w:lastRenderedPageBreak/>
        <w:t xml:space="preserve">vedením (řízením) a zpracováním jeho pojistného zájmu. </w:t>
      </w:r>
      <w:r w:rsidR="005604D3">
        <w:rPr>
          <w:rFonts w:asciiTheme="minorHAnsi" w:hAnsiTheme="minorHAnsi" w:cs="Arial"/>
          <w:b w:val="0"/>
          <w:caps w:val="0"/>
          <w:sz w:val="22"/>
          <w:szCs w:val="22"/>
        </w:rPr>
        <w:t>Veškerý</w:t>
      </w:r>
      <w:r w:rsidRPr="000D3E50">
        <w:rPr>
          <w:rFonts w:asciiTheme="minorHAnsi" w:hAnsiTheme="minorHAnsi" w:cs="Arial"/>
          <w:b w:val="0"/>
          <w:caps w:val="0"/>
          <w:sz w:val="22"/>
          <w:szCs w:val="22"/>
        </w:rPr>
        <w:t xml:space="preserve"> styk, který se bude týkat této pojistné smlouvy</w:t>
      </w:r>
      <w:r w:rsidR="00080651">
        <w:rPr>
          <w:rFonts w:asciiTheme="minorHAnsi" w:hAnsiTheme="minorHAnsi" w:cs="Arial"/>
          <w:b w:val="0"/>
          <w:caps w:val="0"/>
          <w:sz w:val="22"/>
          <w:szCs w:val="22"/>
        </w:rPr>
        <w:t xml:space="preserve"> bu</w:t>
      </w:r>
      <w:r w:rsidRPr="000D3E50">
        <w:rPr>
          <w:rFonts w:asciiTheme="minorHAnsi" w:hAnsiTheme="minorHAnsi" w:cs="Arial"/>
          <w:b w:val="0"/>
          <w:caps w:val="0"/>
          <w:sz w:val="22"/>
          <w:szCs w:val="22"/>
        </w:rPr>
        <w:t>de prováděn výhradně</w:t>
      </w:r>
      <w:r w:rsidR="00845B9C">
        <w:rPr>
          <w:rFonts w:asciiTheme="minorHAnsi" w:hAnsiTheme="minorHAnsi" w:cs="Arial"/>
          <w:b w:val="0"/>
          <w:caps w:val="0"/>
          <w:sz w:val="22"/>
          <w:szCs w:val="22"/>
        </w:rPr>
        <w:t xml:space="preserve"> prostřednictvím </w:t>
      </w:r>
      <w:r w:rsidRPr="000D3E50">
        <w:rPr>
          <w:rFonts w:asciiTheme="minorHAnsi" w:hAnsiTheme="minorHAnsi" w:cs="Arial"/>
          <w:b w:val="0"/>
          <w:caps w:val="0"/>
          <w:sz w:val="22"/>
          <w:szCs w:val="22"/>
        </w:rPr>
        <w:t>makléře</w:t>
      </w:r>
      <w:r w:rsidR="00845B9C">
        <w:rPr>
          <w:rFonts w:asciiTheme="minorHAnsi" w:hAnsiTheme="minorHAnsi" w:cs="Arial"/>
          <w:b w:val="0"/>
          <w:caps w:val="0"/>
          <w:sz w:val="22"/>
          <w:szCs w:val="22"/>
        </w:rPr>
        <w:t>. Prohlášení a jiné úkony pojistníka směřované pojistiteli jsou vůči pojistiteli účinné doručením makléři. Makléř je povinen o těchto úkonech pojistitele informovat bez zbytečného prodlení.</w:t>
      </w:r>
      <w:r w:rsidR="00080651">
        <w:rPr>
          <w:rFonts w:asciiTheme="minorHAnsi" w:hAnsiTheme="minorHAnsi" w:cs="Arial"/>
          <w:b w:val="0"/>
          <w:caps w:val="0"/>
          <w:sz w:val="22"/>
          <w:szCs w:val="22"/>
        </w:rPr>
        <w:t xml:space="preserve"> Smluvní strany se dohodly, že události, se kterými je spojen požadavek na plnění z pojištění sjednaného touto pojistnou smlouvou, bude oznamovat pojistník sám, pokud tím nepověří makléře.</w:t>
      </w:r>
    </w:p>
    <w:p w14:paraId="61CF79EF" w14:textId="77777777" w:rsidR="00845B9C" w:rsidRPr="00845B9C" w:rsidRDefault="00845B9C" w:rsidP="00845B9C">
      <w:pPr>
        <w:pStyle w:val="Zkladntext"/>
        <w:rPr>
          <w:lang w:val="cs-CZ" w:eastAsia="cs-CZ"/>
        </w:rPr>
      </w:pPr>
    </w:p>
    <w:p w14:paraId="6F85BA1C" w14:textId="77777777" w:rsidR="00845B9C" w:rsidRDefault="00845B9C" w:rsidP="00845B9C">
      <w:pPr>
        <w:pStyle w:val="Zkladntext"/>
        <w:rPr>
          <w:lang w:val="cs-CZ" w:eastAsia="cs-CZ"/>
        </w:rPr>
      </w:pPr>
    </w:p>
    <w:p w14:paraId="7841C0C6" w14:textId="77777777" w:rsidR="00CB3794" w:rsidRPr="00845B9C" w:rsidRDefault="00CB3794" w:rsidP="00845B9C">
      <w:pPr>
        <w:pStyle w:val="Nadpis10"/>
        <w:numPr>
          <w:ilvl w:val="0"/>
          <w:numId w:val="9"/>
        </w:numPr>
        <w:tabs>
          <w:tab w:val="left" w:pos="567"/>
        </w:tabs>
        <w:ind w:hanging="930"/>
        <w:rPr>
          <w:rFonts w:asciiTheme="minorHAnsi" w:hAnsiTheme="minorHAnsi" w:cs="Arial"/>
          <w:color w:val="auto"/>
          <w:sz w:val="22"/>
          <w:szCs w:val="22"/>
        </w:rPr>
      </w:pPr>
      <w:r w:rsidRPr="00845B9C">
        <w:rPr>
          <w:rFonts w:asciiTheme="minorHAnsi" w:hAnsiTheme="minorHAnsi" w:cs="Arial"/>
          <w:color w:val="auto"/>
          <w:sz w:val="22"/>
          <w:szCs w:val="22"/>
        </w:rPr>
        <w:t>změna rozsahu pojištění</w:t>
      </w:r>
    </w:p>
    <w:p w14:paraId="0D8D6ED5" w14:textId="77777777" w:rsidR="00CB3794" w:rsidRPr="000D3E50" w:rsidRDefault="00CB3794" w:rsidP="00CB3794">
      <w:pPr>
        <w:pStyle w:val="Text11"/>
        <w:numPr>
          <w:ilvl w:val="0"/>
          <w:numId w:val="0"/>
        </w:numPr>
        <w:ind w:left="567"/>
        <w:rPr>
          <w:rFonts w:asciiTheme="minorHAnsi" w:hAnsiTheme="minorHAnsi" w:cs="Arial"/>
          <w:b w:val="0"/>
          <w:caps w:val="0"/>
          <w:color w:val="auto"/>
          <w:sz w:val="22"/>
          <w:szCs w:val="22"/>
        </w:rPr>
      </w:pPr>
      <w:r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 xml:space="preserve">Ujednává se, že pojistník může kdykoliv dle svých pojistných potřeb změnit rozsah pojištění, </w:t>
      </w:r>
      <w:r w:rsidR="00D71ADA"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 xml:space="preserve">po dohodě s pojistitelem, </w:t>
      </w:r>
      <w:r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>pokud dojde ke změn</w:t>
      </w:r>
      <w:r w:rsidR="00845B9C"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>ám</w:t>
      </w:r>
      <w:r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 xml:space="preserve"> mající</w:t>
      </w:r>
      <w:r w:rsidR="00845B9C"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>m</w:t>
      </w:r>
      <w:r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 xml:space="preserve"> vliv na rozsah pojištění</w:t>
      </w:r>
      <w:r w:rsidR="00D71ADA"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 xml:space="preserve"> a to formou písemných dodatků</w:t>
      </w:r>
      <w:r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>. Případné nespotřebované pojistné pojistitel vrátí na účet pojistníka</w:t>
      </w:r>
      <w:r w:rsidR="00845B9C" w:rsidRPr="00D71ADA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 xml:space="preserve"> prostřednictvím makléře</w:t>
      </w:r>
      <w:r w:rsidRPr="000D3E50">
        <w:rPr>
          <w:rFonts w:asciiTheme="minorHAnsi" w:hAnsiTheme="minorHAnsi" w:cs="Arial"/>
          <w:b w:val="0"/>
          <w:caps w:val="0"/>
          <w:color w:val="auto"/>
          <w:sz w:val="22"/>
          <w:szCs w:val="22"/>
        </w:rPr>
        <w:t xml:space="preserve"> nejpozději do jednoho měsíce od ukončení pojištění, nebude-li dohodnuto jinak.</w:t>
      </w:r>
    </w:p>
    <w:p w14:paraId="05E1A172" w14:textId="77777777" w:rsidR="00CB3794" w:rsidRPr="000D3E50" w:rsidRDefault="00CB3794" w:rsidP="00CB3794">
      <w:pPr>
        <w:pStyle w:val="Zkladntext"/>
        <w:rPr>
          <w:rFonts w:asciiTheme="minorHAnsi" w:hAnsiTheme="minorHAnsi" w:cs="Arial"/>
          <w:sz w:val="22"/>
          <w:szCs w:val="22"/>
        </w:rPr>
      </w:pPr>
    </w:p>
    <w:p w14:paraId="3BFB5181" w14:textId="77777777" w:rsidR="00CD6102" w:rsidRDefault="00CD6102" w:rsidP="00CB3794">
      <w:pPr>
        <w:pStyle w:val="Nadpis10"/>
        <w:numPr>
          <w:ilvl w:val="0"/>
          <w:numId w:val="9"/>
        </w:numPr>
        <w:tabs>
          <w:tab w:val="left" w:pos="567"/>
        </w:tabs>
        <w:ind w:hanging="930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POČÁTEK A DOBA TRVÁNÍ POJIŠTĚNÍ</w:t>
      </w:r>
    </w:p>
    <w:p w14:paraId="33729975" w14:textId="77777777" w:rsidR="00CD6102" w:rsidRDefault="00CD6102" w:rsidP="00CD6102">
      <w:pPr>
        <w:pStyle w:val="Zkladntext"/>
        <w:ind w:left="567"/>
        <w:rPr>
          <w:rFonts w:asciiTheme="minorHAnsi" w:hAnsiTheme="minorHAnsi" w:cs="Arial"/>
          <w:snapToGrid w:val="0"/>
          <w:color w:val="auto"/>
          <w:sz w:val="22"/>
          <w:szCs w:val="22"/>
          <w:lang w:val="cs-CZ" w:eastAsia="cs-CZ"/>
        </w:rPr>
      </w:pPr>
      <w:r w:rsidRPr="00CD6102">
        <w:rPr>
          <w:rFonts w:asciiTheme="minorHAnsi" w:hAnsiTheme="minorHAnsi" w:cs="Arial"/>
          <w:snapToGrid w:val="0"/>
          <w:color w:val="auto"/>
          <w:sz w:val="22"/>
          <w:szCs w:val="22"/>
          <w:lang w:val="cs-CZ" w:eastAsia="cs-CZ"/>
        </w:rPr>
        <w:t xml:space="preserve">Pojištění se sjednává na dobu od 1. 4. 2019 do 31. 3. 2022. </w:t>
      </w:r>
    </w:p>
    <w:p w14:paraId="4E75DDF1" w14:textId="77777777" w:rsidR="00CD6102" w:rsidRDefault="00CD6102" w:rsidP="00CD6102">
      <w:pPr>
        <w:pStyle w:val="Zkladntext"/>
        <w:ind w:left="567"/>
        <w:rPr>
          <w:lang w:val="cs-CZ" w:eastAsia="cs-CZ"/>
        </w:rPr>
      </w:pPr>
      <w:r w:rsidRPr="00CD6102">
        <w:rPr>
          <w:rFonts w:asciiTheme="minorHAnsi" w:hAnsiTheme="minorHAnsi" w:cs="Arial"/>
          <w:snapToGrid w:val="0"/>
          <w:color w:val="auto"/>
          <w:sz w:val="22"/>
          <w:szCs w:val="22"/>
          <w:lang w:val="cs-CZ" w:eastAsia="cs-CZ"/>
        </w:rPr>
        <w:t>Pojistné období se sjednává v délce 12 měsíců.</w:t>
      </w:r>
      <w:r>
        <w:rPr>
          <w:lang w:val="cs-CZ" w:eastAsia="cs-CZ"/>
        </w:rPr>
        <w:t xml:space="preserve"> </w:t>
      </w:r>
    </w:p>
    <w:p w14:paraId="1AD0487C" w14:textId="77777777" w:rsidR="00CD6102" w:rsidRPr="00CD6102" w:rsidRDefault="00CD6102" w:rsidP="00CD6102">
      <w:pPr>
        <w:pStyle w:val="Zkladntext"/>
        <w:ind w:left="708"/>
        <w:rPr>
          <w:lang w:val="cs-CZ" w:eastAsia="cs-CZ"/>
        </w:rPr>
      </w:pPr>
    </w:p>
    <w:p w14:paraId="43798008" w14:textId="77777777" w:rsidR="00CB3794" w:rsidRPr="000D3E50" w:rsidRDefault="00CB3794" w:rsidP="00CB3794">
      <w:pPr>
        <w:pStyle w:val="Nadpis10"/>
        <w:numPr>
          <w:ilvl w:val="0"/>
          <w:numId w:val="9"/>
        </w:numPr>
        <w:tabs>
          <w:tab w:val="left" w:pos="567"/>
        </w:tabs>
        <w:ind w:hanging="930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 xml:space="preserve">CENA a Platební Podmínky </w:t>
      </w:r>
    </w:p>
    <w:p w14:paraId="27319B95" w14:textId="77777777" w:rsidR="00CB3794" w:rsidRPr="00D71ADA" w:rsidRDefault="00CB3794" w:rsidP="00CB3794">
      <w:pPr>
        <w:pStyle w:val="Zkladntext"/>
        <w:spacing w:before="80"/>
        <w:ind w:left="567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 xml:space="preserve">Výše </w:t>
      </w:r>
      <w:r w:rsidRPr="00D71ADA">
        <w:rPr>
          <w:rFonts w:asciiTheme="minorHAnsi" w:hAnsiTheme="minorHAnsi" w:cs="Arial"/>
          <w:color w:val="auto"/>
          <w:sz w:val="22"/>
          <w:szCs w:val="22"/>
        </w:rPr>
        <w:t>pojistného</w:t>
      </w:r>
      <w:r w:rsidR="00845B9C" w:rsidRPr="00D71AD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za jednoho zaměstnance</w:t>
      </w:r>
      <w:r w:rsidRPr="00D71ADA">
        <w:rPr>
          <w:rFonts w:asciiTheme="minorHAnsi" w:hAnsiTheme="minorHAnsi" w:cs="Arial"/>
          <w:color w:val="auto"/>
          <w:sz w:val="22"/>
          <w:szCs w:val="22"/>
        </w:rPr>
        <w:t xml:space="preserve"> je platná po celou dobu trvání pojištění. Nárůst výše pojistného v důsledku vývoje cen pojištění je nepřípustný.</w:t>
      </w:r>
    </w:p>
    <w:p w14:paraId="352A7374" w14:textId="77777777" w:rsidR="00CB3794" w:rsidRPr="000D3E50" w:rsidRDefault="00CB3794" w:rsidP="00CB3794">
      <w:pPr>
        <w:pStyle w:val="Zkladntext"/>
        <w:spacing w:before="80"/>
        <w:ind w:left="567"/>
        <w:rPr>
          <w:rFonts w:asciiTheme="minorHAnsi" w:hAnsiTheme="minorHAnsi" w:cs="Arial"/>
          <w:color w:val="auto"/>
          <w:sz w:val="22"/>
          <w:szCs w:val="22"/>
        </w:rPr>
      </w:pPr>
      <w:r w:rsidRPr="00D71ADA">
        <w:rPr>
          <w:rFonts w:asciiTheme="minorHAnsi" w:hAnsiTheme="minorHAnsi" w:cs="Arial"/>
          <w:color w:val="auto"/>
          <w:sz w:val="22"/>
          <w:szCs w:val="22"/>
        </w:rPr>
        <w:t>Výše pojistného</w:t>
      </w:r>
      <w:r w:rsidR="00845B9C" w:rsidRPr="00D71ADA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za jednoho zaměstnance</w:t>
      </w:r>
      <w:r w:rsidRPr="00D71ADA">
        <w:rPr>
          <w:rFonts w:asciiTheme="minorHAnsi" w:hAnsiTheme="minorHAnsi" w:cs="Arial"/>
          <w:color w:val="auto"/>
          <w:sz w:val="22"/>
          <w:szCs w:val="22"/>
        </w:rPr>
        <w:t xml:space="preserve"> je překročitelná pouze při změně rozsahu pojistného krytí a při zvýšení limitu plnění.</w:t>
      </w:r>
    </w:p>
    <w:p w14:paraId="0F2FA2B2" w14:textId="33375C78" w:rsidR="00CB3794" w:rsidRDefault="00CB3794" w:rsidP="00CB3794">
      <w:pPr>
        <w:pStyle w:val="Smlouva-slo"/>
        <w:spacing w:before="80" w:line="240" w:lineRule="auto"/>
        <w:ind w:left="567"/>
        <w:rPr>
          <w:rFonts w:asciiTheme="minorHAnsi" w:hAnsiTheme="minorHAnsi" w:cs="Arial"/>
          <w:sz w:val="22"/>
          <w:szCs w:val="22"/>
        </w:rPr>
      </w:pPr>
      <w:r w:rsidRPr="00D71ADA">
        <w:rPr>
          <w:rFonts w:asciiTheme="minorHAnsi" w:hAnsiTheme="minorHAnsi" w:cs="Arial"/>
          <w:sz w:val="22"/>
          <w:szCs w:val="22"/>
        </w:rPr>
        <w:t>Pojistitel může v průběhu doby trvání pojištění snížit pojistné sazby</w:t>
      </w:r>
      <w:r w:rsidRPr="000D3E50">
        <w:rPr>
          <w:rFonts w:asciiTheme="minorHAnsi" w:hAnsiTheme="minorHAnsi" w:cs="Arial"/>
          <w:sz w:val="22"/>
          <w:szCs w:val="22"/>
        </w:rPr>
        <w:t>.</w:t>
      </w:r>
    </w:p>
    <w:p w14:paraId="3E24C11B" w14:textId="77777777" w:rsidR="00492768" w:rsidRPr="00A84575" w:rsidRDefault="00492768" w:rsidP="00492768">
      <w:pPr>
        <w:ind w:left="567"/>
        <w:jc w:val="both"/>
        <w:rPr>
          <w:rFonts w:ascii="Calibri" w:hAnsi="Calibri" w:cs="Arial"/>
          <w:sz w:val="22"/>
          <w:szCs w:val="22"/>
        </w:rPr>
      </w:pPr>
      <w:r w:rsidRPr="00A84575">
        <w:rPr>
          <w:rFonts w:ascii="Calibri" w:hAnsi="Calibri" w:cs="Arial"/>
          <w:sz w:val="22"/>
          <w:szCs w:val="22"/>
        </w:rPr>
        <w:t>Zadavatel nepřipouští nárůst nabídkové ceny (resp. jednotlivých sazeb pojistného) v důsledku inflace, změny měnových kurzů či v důsledku změny dalších parametrů, které mají vliv na vývoj ceny pojištění.</w:t>
      </w:r>
    </w:p>
    <w:p w14:paraId="0BA88FAE" w14:textId="77777777" w:rsidR="00A84575" w:rsidRDefault="00A84575" w:rsidP="00A84575">
      <w:pPr>
        <w:pStyle w:val="Zkladntext"/>
        <w:spacing w:before="80"/>
        <w:ind w:left="567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 xml:space="preserve">Úhrada pojistného bude prováděná v české měně na účet </w:t>
      </w:r>
      <w:r>
        <w:rPr>
          <w:rFonts w:asciiTheme="minorHAnsi" w:hAnsiTheme="minorHAnsi" w:cs="Arial"/>
          <w:color w:val="auto"/>
          <w:sz w:val="22"/>
          <w:szCs w:val="22"/>
          <w:lang w:val="cs-CZ"/>
        </w:rPr>
        <w:t>makléře oproti vystavené faktuře</w:t>
      </w:r>
      <w:r w:rsidRPr="000D3E50">
        <w:rPr>
          <w:rFonts w:asciiTheme="minorHAnsi" w:hAnsiTheme="minorHAnsi" w:cs="Arial"/>
          <w:color w:val="auto"/>
          <w:sz w:val="22"/>
          <w:szCs w:val="22"/>
        </w:rPr>
        <w:t xml:space="preserve">. Bankovní spojení: </w:t>
      </w:r>
      <w:proofErr w:type="spellStart"/>
      <w:r w:rsidRPr="000D3E50">
        <w:rPr>
          <w:rFonts w:asciiTheme="minorHAnsi" w:hAnsiTheme="minorHAnsi" w:cs="Arial"/>
          <w:color w:val="auto"/>
          <w:sz w:val="22"/>
          <w:szCs w:val="22"/>
        </w:rPr>
        <w:t>Raiffeisenb</w:t>
      </w:r>
      <w:r>
        <w:rPr>
          <w:rFonts w:asciiTheme="minorHAnsi" w:hAnsiTheme="minorHAnsi" w:cs="Arial"/>
          <w:color w:val="auto"/>
          <w:sz w:val="22"/>
          <w:szCs w:val="22"/>
        </w:rPr>
        <w:t>ank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 xml:space="preserve"> a.s., </w:t>
      </w:r>
      <w:proofErr w:type="spellStart"/>
      <w:r>
        <w:rPr>
          <w:rFonts w:asciiTheme="minorHAnsi" w:hAnsiTheme="minorHAnsi" w:cs="Arial"/>
          <w:color w:val="auto"/>
          <w:sz w:val="22"/>
          <w:szCs w:val="22"/>
        </w:rPr>
        <w:t>č.ú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>: 5025001117/5500.</w:t>
      </w:r>
    </w:p>
    <w:p w14:paraId="5C9CCD2B" w14:textId="77777777" w:rsidR="00A84575" w:rsidRPr="00D71ADA" w:rsidRDefault="00A84575" w:rsidP="00A84575">
      <w:pPr>
        <w:pStyle w:val="Zkladntext"/>
        <w:spacing w:before="80"/>
        <w:ind w:left="567"/>
        <w:rPr>
          <w:rFonts w:asciiTheme="minorHAnsi" w:hAnsiTheme="minorHAnsi" w:cs="Arial"/>
          <w:color w:val="auto"/>
          <w:sz w:val="22"/>
          <w:szCs w:val="22"/>
          <w:lang w:val="cs-CZ"/>
        </w:rPr>
      </w:pPr>
      <w:r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Splatnost pojistného </w:t>
      </w:r>
      <w:r w:rsidRPr="00D71ADA">
        <w:rPr>
          <w:rFonts w:asciiTheme="minorHAnsi" w:hAnsiTheme="minorHAnsi" w:cs="Arial"/>
          <w:color w:val="auto"/>
          <w:sz w:val="22"/>
          <w:szCs w:val="22"/>
          <w:lang w:val="cs-CZ"/>
        </w:rPr>
        <w:t>je vždy do 30.4. kalendářního roku.</w:t>
      </w:r>
    </w:p>
    <w:p w14:paraId="6DE3258F" w14:textId="77777777" w:rsidR="00492768" w:rsidRPr="00A84575" w:rsidRDefault="00492768" w:rsidP="00CB3794">
      <w:pPr>
        <w:pStyle w:val="Smlouva-slo"/>
        <w:spacing w:before="80" w:line="240" w:lineRule="auto"/>
        <w:ind w:left="567"/>
        <w:rPr>
          <w:rFonts w:asciiTheme="minorHAnsi" w:hAnsiTheme="minorHAnsi" w:cs="Arial"/>
          <w:sz w:val="22"/>
          <w:szCs w:val="22"/>
        </w:rPr>
      </w:pPr>
    </w:p>
    <w:p w14:paraId="3181454E" w14:textId="77777777" w:rsidR="00CB3794" w:rsidRPr="000D3E50" w:rsidRDefault="00CB3794" w:rsidP="00CB3794">
      <w:pPr>
        <w:pStyle w:val="Smlouva-slo"/>
        <w:spacing w:before="0" w:line="240" w:lineRule="auto"/>
        <w:ind w:left="567"/>
        <w:rPr>
          <w:rFonts w:asciiTheme="minorHAnsi" w:hAnsiTheme="minorHAnsi" w:cs="Arial"/>
          <w:sz w:val="22"/>
          <w:szCs w:val="22"/>
        </w:rPr>
      </w:pPr>
    </w:p>
    <w:p w14:paraId="474C957B" w14:textId="77777777" w:rsidR="00CB3794" w:rsidRPr="000D3E50" w:rsidRDefault="00CB3794" w:rsidP="00CB3794">
      <w:pPr>
        <w:pStyle w:val="Nadpis10"/>
        <w:numPr>
          <w:ilvl w:val="0"/>
          <w:numId w:val="9"/>
        </w:numPr>
        <w:tabs>
          <w:tab w:val="left" w:pos="567"/>
        </w:tabs>
        <w:ind w:hanging="930"/>
        <w:rPr>
          <w:rFonts w:asciiTheme="minorHAnsi" w:hAnsiTheme="minorHAnsi" w:cs="Arial"/>
          <w:color w:val="auto"/>
          <w:sz w:val="22"/>
          <w:szCs w:val="22"/>
        </w:rPr>
      </w:pPr>
      <w:r w:rsidRPr="000D3E50">
        <w:rPr>
          <w:rFonts w:asciiTheme="minorHAnsi" w:hAnsiTheme="minorHAnsi" w:cs="Arial"/>
          <w:color w:val="auto"/>
          <w:sz w:val="22"/>
          <w:szCs w:val="22"/>
        </w:rPr>
        <w:t xml:space="preserve">Změna smluvních podmínek </w:t>
      </w:r>
    </w:p>
    <w:p w14:paraId="600F68D9" w14:textId="2A5D6B6F" w:rsidR="00CB3794" w:rsidRDefault="00CB3794" w:rsidP="00CB3794">
      <w:pPr>
        <w:pStyle w:val="Smlouva-slo"/>
        <w:spacing w:before="80" w:line="240" w:lineRule="auto"/>
        <w:ind w:left="567"/>
        <w:rPr>
          <w:rFonts w:asciiTheme="minorHAnsi" w:hAnsiTheme="minorHAnsi" w:cs="Arial"/>
          <w:sz w:val="22"/>
          <w:szCs w:val="22"/>
        </w:rPr>
      </w:pPr>
      <w:r w:rsidRPr="000D3E50">
        <w:rPr>
          <w:rFonts w:asciiTheme="minorHAnsi" w:hAnsiTheme="minorHAnsi" w:cs="Arial"/>
          <w:sz w:val="22"/>
          <w:szCs w:val="22"/>
        </w:rPr>
        <w:t>Veškeré změny a doplnění lze realizovat pouze formou písemných dodatků smlouvy, které budou vzestupně očíslovány, výslovně prohlášeny za dodatek této smlouvy a</w:t>
      </w:r>
      <w:r w:rsidR="00080F18" w:rsidRPr="000D3E50">
        <w:rPr>
          <w:rFonts w:asciiTheme="minorHAnsi" w:hAnsiTheme="minorHAnsi" w:cs="Arial"/>
          <w:sz w:val="22"/>
          <w:szCs w:val="22"/>
        </w:rPr>
        <w:t> </w:t>
      </w:r>
      <w:r w:rsidRPr="000D3E50">
        <w:rPr>
          <w:rFonts w:asciiTheme="minorHAnsi" w:hAnsiTheme="minorHAnsi" w:cs="Arial"/>
          <w:sz w:val="22"/>
          <w:szCs w:val="22"/>
        </w:rPr>
        <w:t>podepsány oprávněnými zástupci smluvních stran.</w:t>
      </w:r>
    </w:p>
    <w:p w14:paraId="5CEF540B" w14:textId="64781837" w:rsidR="00492768" w:rsidRPr="00492768" w:rsidRDefault="00492768" w:rsidP="00CB3794">
      <w:pPr>
        <w:pStyle w:val="Smlouva-slo"/>
        <w:spacing w:before="80" w:line="240" w:lineRule="auto"/>
        <w:ind w:left="567"/>
        <w:rPr>
          <w:rFonts w:asciiTheme="minorHAnsi" w:hAnsiTheme="minorHAnsi" w:cs="Arial"/>
          <w:sz w:val="22"/>
          <w:szCs w:val="22"/>
        </w:rPr>
      </w:pPr>
    </w:p>
    <w:p w14:paraId="2A498396" w14:textId="77777777" w:rsidR="00492768" w:rsidRPr="00080651" w:rsidRDefault="00492768" w:rsidP="00080651">
      <w:pPr>
        <w:pStyle w:val="Nadpis10"/>
        <w:numPr>
          <w:ilvl w:val="0"/>
          <w:numId w:val="9"/>
        </w:numPr>
        <w:tabs>
          <w:tab w:val="left" w:pos="567"/>
        </w:tabs>
        <w:ind w:hanging="930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bCs/>
          <w:sz w:val="22"/>
          <w:szCs w:val="22"/>
        </w:rPr>
        <w:t>Pojistné smlouvy na plnění veřejné zakázky</w:t>
      </w:r>
    </w:p>
    <w:p w14:paraId="6149E749" w14:textId="77777777" w:rsidR="00492768" w:rsidRPr="00F23016" w:rsidRDefault="00492768" w:rsidP="00492768">
      <w:pPr>
        <w:pStyle w:val="Default"/>
        <w:rPr>
          <w:rFonts w:ascii="Calibri" w:hAnsi="Calibri" w:cs="Arial"/>
          <w:sz w:val="20"/>
          <w:szCs w:val="20"/>
        </w:rPr>
      </w:pPr>
    </w:p>
    <w:p w14:paraId="6B3AB488" w14:textId="5B610C60" w:rsidR="00492768" w:rsidRPr="00080651" w:rsidRDefault="00492768" w:rsidP="005951CF">
      <w:pPr>
        <w:numPr>
          <w:ilvl w:val="1"/>
          <w:numId w:val="14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Závazné podmínky pojištění zadavatel stanovil v</w:t>
      </w:r>
      <w:r w:rsidR="00037D54" w:rsidRPr="00037D54">
        <w:rPr>
          <w:rFonts w:ascii="Calibri" w:hAnsi="Calibri" w:cs="Arial"/>
          <w:sz w:val="22"/>
          <w:szCs w:val="22"/>
        </w:rPr>
        <w:t> zadávací dokumentaci</w:t>
      </w:r>
      <w:r w:rsidRPr="00080651">
        <w:rPr>
          <w:rFonts w:ascii="Calibri" w:hAnsi="Calibri" w:cs="Arial"/>
          <w:sz w:val="22"/>
          <w:szCs w:val="22"/>
        </w:rPr>
        <w:t xml:space="preserve">. Tyto podmínky je dodavatel povinen zapracovat do pojistné smlouvy. Součástí pojistné smlouvy musí být veškeré </w:t>
      </w:r>
      <w:r w:rsidRPr="00080651">
        <w:rPr>
          <w:rFonts w:ascii="Calibri" w:hAnsi="Calibri" w:cs="Arial"/>
          <w:sz w:val="22"/>
          <w:szCs w:val="22"/>
        </w:rPr>
        <w:lastRenderedPageBreak/>
        <w:t xml:space="preserve">dokumenty, zejména všeobecné či jiné obchodní, pojistné či jiné podmínky, na které návrh smlouvy odkazuje. </w:t>
      </w:r>
    </w:p>
    <w:p w14:paraId="462CBD84" w14:textId="77777777" w:rsidR="00492768" w:rsidRPr="00080651" w:rsidRDefault="00492768" w:rsidP="00492768">
      <w:pPr>
        <w:ind w:left="709"/>
        <w:jc w:val="both"/>
        <w:rPr>
          <w:rFonts w:ascii="Calibri" w:hAnsi="Calibri" w:cs="Arial"/>
          <w:sz w:val="22"/>
          <w:szCs w:val="22"/>
        </w:rPr>
      </w:pPr>
    </w:p>
    <w:p w14:paraId="3D6F5163" w14:textId="77777777" w:rsidR="00492768" w:rsidRPr="00080651" w:rsidRDefault="00492768" w:rsidP="005951CF">
      <w:pPr>
        <w:tabs>
          <w:tab w:val="left" w:pos="284"/>
        </w:tabs>
        <w:jc w:val="both"/>
        <w:rPr>
          <w:rFonts w:ascii="Calibri" w:hAnsi="Calibri" w:cs="Arial"/>
          <w:color w:val="FF0000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10.2. Tím není dotčeno oprávnění dodavatele nabídnout výhodnější podmínky.</w:t>
      </w:r>
    </w:p>
    <w:p w14:paraId="72921409" w14:textId="77777777" w:rsidR="00492768" w:rsidRPr="00080651" w:rsidRDefault="00492768" w:rsidP="00492768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69178BA3" w14:textId="77777777" w:rsidR="00492768" w:rsidRPr="00080651" w:rsidRDefault="00492768" w:rsidP="005951CF">
      <w:pPr>
        <w:numPr>
          <w:ilvl w:val="1"/>
          <w:numId w:val="15"/>
        </w:numPr>
        <w:ind w:left="567" w:hanging="567"/>
        <w:jc w:val="both"/>
        <w:rPr>
          <w:rFonts w:ascii="Calibri" w:hAnsi="Calibri" w:cs="Arial"/>
          <w:color w:val="FF0000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 xml:space="preserve"> Dále je dodavatel povinen v pojistné smlouvě uvést identifikační údaje smluvních stran a další podmínky plnění vyplývající ze zadávacích podmínek, nabídky dodavatele a obecně závazných právních předpisů.</w:t>
      </w:r>
    </w:p>
    <w:p w14:paraId="4754DB7C" w14:textId="77777777" w:rsidR="00492768" w:rsidRPr="00080651" w:rsidRDefault="00492768" w:rsidP="00492768">
      <w:pPr>
        <w:pStyle w:val="Odstavecseseznamem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1D74F3C6" w14:textId="77777777" w:rsidR="00492768" w:rsidRPr="00080651" w:rsidRDefault="00492768" w:rsidP="005951CF">
      <w:pPr>
        <w:numPr>
          <w:ilvl w:val="1"/>
          <w:numId w:val="15"/>
        </w:numPr>
        <w:ind w:left="567" w:hanging="567"/>
        <w:jc w:val="both"/>
        <w:rPr>
          <w:rFonts w:ascii="Calibri" w:hAnsi="Calibri" w:cs="Arial"/>
          <w:color w:val="FF0000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 xml:space="preserve"> Dodavatel není oprávněn žádným způsobem měnit, doplňovat či omezovat práva a povinnosti vymezené zadávacími podmínkami, a to ani přímou úpravou podmínek pojištění, ani uvedením jakýchkoli omezujících či pozměňujících ustanovení do pojistné smlouvy.</w:t>
      </w:r>
    </w:p>
    <w:p w14:paraId="2AB8B099" w14:textId="77777777" w:rsidR="00492768" w:rsidRPr="00080651" w:rsidRDefault="00492768" w:rsidP="00492768">
      <w:pPr>
        <w:jc w:val="both"/>
        <w:rPr>
          <w:rFonts w:ascii="Calibri" w:hAnsi="Calibri" w:cs="Arial"/>
          <w:sz w:val="22"/>
          <w:szCs w:val="22"/>
        </w:rPr>
      </w:pPr>
    </w:p>
    <w:p w14:paraId="0A5BA3DE" w14:textId="77777777" w:rsidR="00492768" w:rsidRPr="00080651" w:rsidRDefault="00492768" w:rsidP="00492768">
      <w:pPr>
        <w:numPr>
          <w:ilvl w:val="1"/>
          <w:numId w:val="15"/>
        </w:numPr>
        <w:jc w:val="both"/>
        <w:rPr>
          <w:rFonts w:ascii="Calibri" w:hAnsi="Calibri" w:cs="Arial"/>
          <w:color w:val="FF0000"/>
          <w:sz w:val="22"/>
          <w:szCs w:val="22"/>
        </w:rPr>
      </w:pPr>
      <w:r w:rsidRPr="00080651">
        <w:rPr>
          <w:rFonts w:ascii="Calibri" w:hAnsi="Calibri" w:cs="Arial"/>
          <w:b/>
          <w:sz w:val="22"/>
          <w:szCs w:val="22"/>
          <w:u w:val="single" w:color="000000"/>
        </w:rPr>
        <w:t>Dodavatel je povinen do pojistné smlouvy zapracovat následující požadavky zadavatele:</w:t>
      </w:r>
    </w:p>
    <w:p w14:paraId="78AA3DA8" w14:textId="77777777" w:rsidR="00492768" w:rsidRPr="00080651" w:rsidRDefault="00492768" w:rsidP="00492768">
      <w:pPr>
        <w:ind w:left="192"/>
        <w:jc w:val="both"/>
        <w:rPr>
          <w:rFonts w:ascii="Calibri" w:hAnsi="Calibri" w:cs="Arial"/>
          <w:sz w:val="22"/>
          <w:szCs w:val="22"/>
        </w:rPr>
      </w:pPr>
    </w:p>
    <w:p w14:paraId="360C5735" w14:textId="77777777" w:rsidR="00492768" w:rsidRPr="00080651" w:rsidRDefault="00492768" w:rsidP="00492768">
      <w:pPr>
        <w:widowControl w:val="0"/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pokud se na straně dodavatele (pojistníka) jedná o případ, kdy více dodavatelů podávalo v zadávacím řízení „Kolektivní pojištění odpovědnosti zaměstnanců“ společnou nabídku, zavazují se všichni dodavatelé podávající společnou nabídku, že v souvislosti s předmětem plnění této smlouvy ponesou po celou dobu trvání závazků vyplývajících z této smlouvy společně a nerozdílně odpovědnost vůči zadavateli (pojistníkovi) a třetím osobám. Nabídka dále bude obsahovat oprávnění pro zmocněnce společné nabídky, a to k podání nabídky, podpisu návrhu pojistné smlouvy apod. U společné nabídky podané několika dodavateli bude návrh pojistné smlouvy obsahovat všechny smluvní strany a bude podepsán všemi dodavateli podávající společnou nabídku, pokud nebude v plné moci uvedeno jinak. Návrh pojistné smlouvy musí rovněž zřetelně vymezovat, který z dodavatelů je oprávněn zastupovat ostatní dodavatele ve věcech spojených s plněním předmětu veřejné zakázky či jeho určité části a který dodavatel bude fakturačním místem.</w:t>
      </w:r>
    </w:p>
    <w:p w14:paraId="127A6BCA" w14:textId="77777777" w:rsidR="00492768" w:rsidRPr="00080651" w:rsidRDefault="00492768" w:rsidP="00492768">
      <w:pPr>
        <w:widowControl w:val="0"/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 xml:space="preserve">všechny písemnosti vztahující se k plnění pojistné smlouvy budou vyhotoveny v českém jazyce. </w:t>
      </w:r>
    </w:p>
    <w:p w14:paraId="7D85EE8F" w14:textId="77777777" w:rsidR="00492768" w:rsidRPr="00080651" w:rsidRDefault="00492768" w:rsidP="00492768">
      <w:pPr>
        <w:widowControl w:val="0"/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pro všechna ústní jednání vztahující se k plnění pojistné smlouvy se stanoví jako jednací jazyk čeština.</w:t>
      </w:r>
    </w:p>
    <w:p w14:paraId="161DDD69" w14:textId="77777777" w:rsidR="00492768" w:rsidRPr="00080651" w:rsidRDefault="00492768" w:rsidP="00492768">
      <w:pPr>
        <w:widowControl w:val="0"/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vztahy vyplývající z pojistné smlouvy se budou řídit českým právním řádem a věcně a místně příslušný bude obecný soud v České republice.</w:t>
      </w:r>
    </w:p>
    <w:p w14:paraId="12C3C98F" w14:textId="77777777" w:rsidR="00492768" w:rsidRPr="00080651" w:rsidRDefault="00492768" w:rsidP="00492768">
      <w:pPr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veškeré změny a doplnění lze realizovat pouze formou písemných dodatků pojistné smlouvy, které budou vzestupně očíslovány, výslovně prohlášeny za dodatek této smlouvy a podepsány oprávněnými zástupci smluvních stran.</w:t>
      </w:r>
    </w:p>
    <w:p w14:paraId="7C182034" w14:textId="77777777" w:rsidR="00492768" w:rsidRPr="00080651" w:rsidRDefault="00492768" w:rsidP="00492768">
      <w:pPr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zadavatel nebude poskytovat zálohy na pojistném.</w:t>
      </w:r>
    </w:p>
    <w:p w14:paraId="44986001" w14:textId="77777777" w:rsidR="00492768" w:rsidRPr="00080651" w:rsidRDefault="00492768" w:rsidP="00492768">
      <w:pPr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splatnost pojistného bude prováděna 1x ročně, na základě faktury vystavené makléřem.</w:t>
      </w:r>
    </w:p>
    <w:p w14:paraId="24A7DC9C" w14:textId="77777777" w:rsidR="00492768" w:rsidRPr="00080651" w:rsidRDefault="00492768" w:rsidP="00492768">
      <w:pPr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platby budou zadavatelem prováděny v české měně (v Kč) na účet pojišťovací makléřské společnosti SATUM CZECH s.r.o. Pojistné se považuje za uhrazené dnem připsání na účet pojišťovacího zprostředkovatele.</w:t>
      </w:r>
    </w:p>
    <w:p w14:paraId="2BC21EF4" w14:textId="77777777" w:rsidR="00492768" w:rsidRPr="00080651" w:rsidRDefault="00492768" w:rsidP="00492768">
      <w:pPr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dodavatel bere na vědomí, že pojistná smlouva bude vedena v evidenci smluv Dopravního podniku Ostrava a.s. Dodavatel prohlašuje, že skutečnosti uvedené v pojistné smlouvě nepovažuje za obchodní tajemství a uděluje svolení k jejich užití a zveřejnění bez stanovení jakýchkoliv dalších podmínek.</w:t>
      </w:r>
    </w:p>
    <w:p w14:paraId="512A32E2" w14:textId="77777777" w:rsidR="00492768" w:rsidRPr="00080651" w:rsidRDefault="00492768" w:rsidP="00492768">
      <w:pPr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 xml:space="preserve">pojistná smlouva, její případné dodatky či dohody o ukončení tohoto smluvního vztahu budou uveřejněny v registru smluv dle zákona č. 340/2015 Sb., o zvláštních podmínkách </w:t>
      </w:r>
      <w:r w:rsidRPr="00080651">
        <w:rPr>
          <w:rFonts w:ascii="Calibri" w:hAnsi="Calibri" w:cs="Arial"/>
          <w:sz w:val="22"/>
          <w:szCs w:val="22"/>
        </w:rPr>
        <w:lastRenderedPageBreak/>
        <w:t xml:space="preserve">účinnosti některých smluv, uveřejňování těchto smluv a registru smluv (zákon o registru smluv). </w:t>
      </w:r>
    </w:p>
    <w:p w14:paraId="5AEEE370" w14:textId="77777777" w:rsidR="00492768" w:rsidRPr="00080651" w:rsidRDefault="00492768" w:rsidP="00492768">
      <w:pPr>
        <w:numPr>
          <w:ilvl w:val="0"/>
          <w:numId w:val="13"/>
        </w:numPr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080651">
        <w:rPr>
          <w:rFonts w:ascii="Calibri" w:hAnsi="Calibri" w:cs="Arial"/>
          <w:sz w:val="22"/>
          <w:szCs w:val="22"/>
        </w:rPr>
        <w:t>smluvní strany se dohodly, že zveřejnění smlouvy v registru smluv zajistí Dopravní podnik Ostrava a.s.</w:t>
      </w:r>
    </w:p>
    <w:p w14:paraId="6E45D73C" w14:textId="77777777" w:rsidR="00492768" w:rsidRPr="000D3E50" w:rsidRDefault="00492768" w:rsidP="00080651">
      <w:pPr>
        <w:pStyle w:val="Nadpis10"/>
        <w:numPr>
          <w:ilvl w:val="0"/>
          <w:numId w:val="0"/>
        </w:numPr>
        <w:tabs>
          <w:tab w:val="left" w:pos="567"/>
        </w:tabs>
        <w:ind w:left="930"/>
        <w:rPr>
          <w:rFonts w:asciiTheme="minorHAnsi" w:hAnsiTheme="minorHAnsi" w:cs="Arial"/>
          <w:sz w:val="22"/>
          <w:szCs w:val="22"/>
        </w:rPr>
      </w:pPr>
    </w:p>
    <w:sectPr w:rsidR="00492768" w:rsidRPr="000D3E50" w:rsidSect="00080651">
      <w:headerReference w:type="default" r:id="rId7"/>
      <w:pgSz w:w="11906" w:h="16838"/>
      <w:pgMar w:top="13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1A4DB" w14:textId="77777777" w:rsidR="00471C75" w:rsidRDefault="00471C75" w:rsidP="00C14632">
      <w:r>
        <w:separator/>
      </w:r>
    </w:p>
  </w:endnote>
  <w:endnote w:type="continuationSeparator" w:id="0">
    <w:p w14:paraId="6EA6ED0F" w14:textId="77777777" w:rsidR="00471C75" w:rsidRDefault="00471C75" w:rsidP="00C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206DC" w14:textId="77777777" w:rsidR="00471C75" w:rsidRDefault="00471C75" w:rsidP="00C14632">
      <w:r>
        <w:separator/>
      </w:r>
    </w:p>
  </w:footnote>
  <w:footnote w:type="continuationSeparator" w:id="0">
    <w:p w14:paraId="47C893B9" w14:textId="77777777" w:rsidR="00471C75" w:rsidRDefault="00471C75" w:rsidP="00C1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5639" w14:textId="2031C3C9" w:rsidR="00E86462" w:rsidRDefault="00E86462" w:rsidP="00C14632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030B9FB" wp14:editId="76147FB0">
          <wp:simplePos x="0" y="0"/>
          <wp:positionH relativeFrom="page">
            <wp:posOffset>5009515</wp:posOffset>
          </wp:positionH>
          <wp:positionV relativeFrom="page">
            <wp:posOffset>257175</wp:posOffset>
          </wp:positionV>
          <wp:extent cx="2179320" cy="615315"/>
          <wp:effectExtent l="0" t="0" r="0" b="0"/>
          <wp:wrapSquare wrapText="bothSides"/>
          <wp:docPr id="2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B24833" wp14:editId="54AFA6C9">
          <wp:simplePos x="0" y="0"/>
          <wp:positionH relativeFrom="page">
            <wp:posOffset>956945</wp:posOffset>
          </wp:positionH>
          <wp:positionV relativeFrom="page">
            <wp:posOffset>299720</wp:posOffset>
          </wp:positionV>
          <wp:extent cx="1866900" cy="504825"/>
          <wp:effectExtent l="19050" t="0" r="0" b="0"/>
          <wp:wrapSquare wrapText="bothSides"/>
          <wp:docPr id="2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B4930" w14:textId="77777777" w:rsidR="00E86462" w:rsidRDefault="00E86462" w:rsidP="00C14632">
    <w:pPr>
      <w:pStyle w:val="Zhlav"/>
      <w:rPr>
        <w:i/>
        <w:sz w:val="22"/>
        <w:szCs w:val="22"/>
      </w:rPr>
    </w:pPr>
  </w:p>
  <w:p w14:paraId="438AD211" w14:textId="139AF2A2" w:rsidR="00E86462" w:rsidRDefault="00E86462" w:rsidP="00C14632">
    <w:pPr>
      <w:pStyle w:val="Zhlav"/>
      <w:rPr>
        <w:i/>
        <w:sz w:val="22"/>
        <w:szCs w:val="22"/>
      </w:rPr>
    </w:pPr>
  </w:p>
  <w:p w14:paraId="6E369F93" w14:textId="77777777" w:rsidR="00E86462" w:rsidRDefault="00E86462" w:rsidP="00C14632">
    <w:pPr>
      <w:pStyle w:val="Zhlav"/>
      <w:rPr>
        <w:i/>
        <w:sz w:val="22"/>
        <w:szCs w:val="22"/>
      </w:rPr>
    </w:pPr>
  </w:p>
  <w:p w14:paraId="27CB8705" w14:textId="77777777" w:rsidR="00E86462" w:rsidRDefault="00E86462" w:rsidP="00C14632">
    <w:pPr>
      <w:pStyle w:val="Zhlav"/>
      <w:rPr>
        <w:i/>
        <w:sz w:val="22"/>
        <w:szCs w:val="22"/>
      </w:rPr>
    </w:pPr>
  </w:p>
  <w:p w14:paraId="171BCCFD" w14:textId="6612263D" w:rsidR="00E86462" w:rsidRDefault="00AD753F" w:rsidP="00772709">
    <w:pPr>
      <w:pStyle w:val="Zhlav"/>
    </w:pPr>
    <w:r w:rsidRPr="00AD753F">
      <w:rPr>
        <w:i/>
        <w:sz w:val="22"/>
        <w:szCs w:val="22"/>
      </w:rPr>
      <w:t xml:space="preserve">Příloha č. 1 ZD – </w:t>
    </w:r>
    <w:r w:rsidR="000D3FF3">
      <w:rPr>
        <w:i/>
        <w:sz w:val="22"/>
        <w:szCs w:val="22"/>
      </w:rPr>
      <w:t>Závazné o</w:t>
    </w:r>
    <w:r w:rsidRPr="00AD753F">
      <w:rPr>
        <w:i/>
        <w:sz w:val="22"/>
        <w:szCs w:val="22"/>
      </w:rPr>
      <w:t>bchodní podmínky k pojištění odpovědnosti při výkonu povolání</w:t>
    </w:r>
  </w:p>
  <w:p w14:paraId="6035C5E0" w14:textId="77777777" w:rsidR="00E86462" w:rsidRDefault="00E864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F9D"/>
    <w:multiLevelType w:val="hybridMultilevel"/>
    <w:tmpl w:val="F3D02D90"/>
    <w:lvl w:ilvl="0" w:tplc="988A75C2">
      <w:numFmt w:val="bullet"/>
      <w:lvlText w:val="-"/>
      <w:lvlJc w:val="left"/>
      <w:pPr>
        <w:ind w:left="987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" w15:restartNumberingAfterBreak="0">
    <w:nsid w:val="0E4343BB"/>
    <w:multiLevelType w:val="multilevel"/>
    <w:tmpl w:val="E6F25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" w15:restartNumberingAfterBreak="0">
    <w:nsid w:val="1210332B"/>
    <w:multiLevelType w:val="hybridMultilevel"/>
    <w:tmpl w:val="74FA17A2"/>
    <w:lvl w:ilvl="0" w:tplc="27F6555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847ED"/>
    <w:multiLevelType w:val="multilevel"/>
    <w:tmpl w:val="F1480832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4" w15:restartNumberingAfterBreak="0">
    <w:nsid w:val="21AF5BF9"/>
    <w:multiLevelType w:val="multilevel"/>
    <w:tmpl w:val="64768C9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5" w15:restartNumberingAfterBreak="0">
    <w:nsid w:val="383A4DE4"/>
    <w:multiLevelType w:val="hybridMultilevel"/>
    <w:tmpl w:val="B31013BE"/>
    <w:lvl w:ilvl="0" w:tplc="985A1E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A29"/>
    <w:multiLevelType w:val="multilevel"/>
    <w:tmpl w:val="AE6ABD06"/>
    <w:lvl w:ilvl="0">
      <w:start w:val="1"/>
      <w:numFmt w:val="decimal"/>
      <w:pStyle w:val="Nadpis1"/>
      <w:lvlText w:val="%1"/>
      <w:lvlJc w:val="left"/>
      <w:pPr>
        <w:tabs>
          <w:tab w:val="num" w:pos="855"/>
        </w:tabs>
        <w:ind w:left="855" w:hanging="855"/>
      </w:pPr>
      <w:rPr>
        <w:rFonts w:ascii="Calibri" w:hAnsi="Calibri" w:hint="default"/>
        <w:b/>
        <w:i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5"/>
        </w:tabs>
        <w:ind w:left="855" w:hanging="855"/>
      </w:pPr>
      <w:rPr>
        <w:rFonts w:ascii="Calibri" w:hAnsi="Calibri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7" w15:restartNumberingAfterBreak="0">
    <w:nsid w:val="4B5C551B"/>
    <w:multiLevelType w:val="hybridMultilevel"/>
    <w:tmpl w:val="ACA263A6"/>
    <w:lvl w:ilvl="0" w:tplc="FFFFFFFF">
      <w:start w:val="2"/>
      <w:numFmt w:val="decimal"/>
      <w:pStyle w:val="Nadpis10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lowerLetter"/>
      <w:pStyle w:val="Text11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EC6FC4"/>
    <w:multiLevelType w:val="hybridMultilevel"/>
    <w:tmpl w:val="BCD6DB16"/>
    <w:lvl w:ilvl="0" w:tplc="6AC22076">
      <w:start w:val="1"/>
      <w:numFmt w:val="lowerLetter"/>
      <w:lvlText w:val="%1)"/>
      <w:lvlJc w:val="left"/>
      <w:pPr>
        <w:ind w:left="912" w:hanging="360"/>
      </w:pPr>
      <w:rPr>
        <w:rFonts w:ascii="Times New Roman" w:eastAsia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9" w15:restartNumberingAfterBreak="0">
    <w:nsid w:val="652E5EB5"/>
    <w:multiLevelType w:val="hybridMultilevel"/>
    <w:tmpl w:val="3D5A2D16"/>
    <w:lvl w:ilvl="0" w:tplc="A504235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6784A5D"/>
    <w:multiLevelType w:val="hybridMultilevel"/>
    <w:tmpl w:val="3D5A2D16"/>
    <w:lvl w:ilvl="0" w:tplc="A504235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740A63F8"/>
    <w:multiLevelType w:val="multilevel"/>
    <w:tmpl w:val="6FEC08C0"/>
    <w:lvl w:ilvl="0">
      <w:start w:val="3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755F13FB"/>
    <w:multiLevelType w:val="multilevel"/>
    <w:tmpl w:val="5F8A9162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F3272D3"/>
    <w:multiLevelType w:val="multilevel"/>
    <w:tmpl w:val="A6B602AE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3C"/>
    <w:rsid w:val="00001154"/>
    <w:rsid w:val="000322BE"/>
    <w:rsid w:val="00037D54"/>
    <w:rsid w:val="00080651"/>
    <w:rsid w:val="00080F18"/>
    <w:rsid w:val="000A7D70"/>
    <w:rsid w:val="000C643E"/>
    <w:rsid w:val="000D3E50"/>
    <w:rsid w:val="000D3FF3"/>
    <w:rsid w:val="00184CF8"/>
    <w:rsid w:val="001B0042"/>
    <w:rsid w:val="001C7389"/>
    <w:rsid w:val="001F67DA"/>
    <w:rsid w:val="002217C5"/>
    <w:rsid w:val="002568A4"/>
    <w:rsid w:val="002B2034"/>
    <w:rsid w:val="003C4385"/>
    <w:rsid w:val="00470A8D"/>
    <w:rsid w:val="00471C75"/>
    <w:rsid w:val="00492768"/>
    <w:rsid w:val="00532AC1"/>
    <w:rsid w:val="00536DF7"/>
    <w:rsid w:val="005604D3"/>
    <w:rsid w:val="005951CF"/>
    <w:rsid w:val="00626C07"/>
    <w:rsid w:val="00640FC5"/>
    <w:rsid w:val="00761258"/>
    <w:rsid w:val="007716FE"/>
    <w:rsid w:val="00772709"/>
    <w:rsid w:val="00772759"/>
    <w:rsid w:val="00845B9C"/>
    <w:rsid w:val="0086397C"/>
    <w:rsid w:val="009C2B1E"/>
    <w:rsid w:val="00A3511A"/>
    <w:rsid w:val="00A45627"/>
    <w:rsid w:val="00A5140D"/>
    <w:rsid w:val="00A626EE"/>
    <w:rsid w:val="00A84575"/>
    <w:rsid w:val="00AD753F"/>
    <w:rsid w:val="00C14632"/>
    <w:rsid w:val="00C65D30"/>
    <w:rsid w:val="00CB3794"/>
    <w:rsid w:val="00CD6102"/>
    <w:rsid w:val="00CD7D3C"/>
    <w:rsid w:val="00CF2F8F"/>
    <w:rsid w:val="00D007BA"/>
    <w:rsid w:val="00D71ADA"/>
    <w:rsid w:val="00DA4AFE"/>
    <w:rsid w:val="00DA6611"/>
    <w:rsid w:val="00DF5F53"/>
    <w:rsid w:val="00E741CD"/>
    <w:rsid w:val="00E855E0"/>
    <w:rsid w:val="00E86462"/>
    <w:rsid w:val="00E9427A"/>
    <w:rsid w:val="00EC2FEE"/>
    <w:rsid w:val="00EC681B"/>
    <w:rsid w:val="00EF2601"/>
    <w:rsid w:val="00F657A9"/>
    <w:rsid w:val="00F7574A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0B01D2"/>
  <w15:chartTrackingRefBased/>
  <w15:docId w15:val="{DC200831-B251-48FC-A83C-D36FA779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D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3794"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olor w:val="003366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qFormat/>
    <w:rsid w:val="00CB3794"/>
    <w:pPr>
      <w:keepNext/>
      <w:numPr>
        <w:ilvl w:val="1"/>
        <w:numId w:val="6"/>
      </w:numPr>
      <w:spacing w:before="240" w:after="120"/>
      <w:jc w:val="both"/>
      <w:outlineLvl w:val="1"/>
    </w:pPr>
    <w:rPr>
      <w:rFonts w:ascii="Verdana" w:hAnsi="Verdana" w:cs="Arial"/>
      <w:b/>
      <w:bCs/>
      <w:iCs/>
      <w:color w:val="003366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B3794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36DF7"/>
    <w:pPr>
      <w:suppressAutoHyphens/>
      <w:ind w:left="708"/>
    </w:pPr>
    <w:rPr>
      <w:rFonts w:ascii="Verdana" w:hAnsi="Verdana"/>
      <w:sz w:val="20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CB3794"/>
    <w:rPr>
      <w:rFonts w:ascii="Verdana" w:eastAsia="Times New Roman" w:hAnsi="Verdana" w:cs="Arial"/>
      <w:b/>
      <w:bCs/>
      <w:color w:val="003366"/>
      <w:kern w:val="32"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B3794"/>
    <w:rPr>
      <w:rFonts w:ascii="Verdana" w:eastAsia="Times New Roman" w:hAnsi="Verdana" w:cs="Arial"/>
      <w:b/>
      <w:bCs/>
      <w:iCs/>
      <w:color w:val="003366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B379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CB3794"/>
    <w:pPr>
      <w:jc w:val="both"/>
    </w:pPr>
    <w:rPr>
      <w:rFonts w:ascii="Verdana" w:hAnsi="Verdana"/>
      <w:color w:val="000080"/>
      <w:sz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B3794"/>
    <w:rPr>
      <w:rFonts w:ascii="Verdana" w:eastAsia="Times New Roman" w:hAnsi="Verdana" w:cs="Times New Roman"/>
      <w:color w:val="000080"/>
      <w:sz w:val="20"/>
      <w:szCs w:val="20"/>
      <w:lang w:val="x-none" w:eastAsia="x-none"/>
    </w:rPr>
  </w:style>
  <w:style w:type="paragraph" w:customStyle="1" w:styleId="Smlouva-slo">
    <w:name w:val="Smlouva-číslo"/>
    <w:basedOn w:val="Normln"/>
    <w:rsid w:val="00CB3794"/>
    <w:pPr>
      <w:spacing w:before="120" w:line="240" w:lineRule="atLeast"/>
      <w:jc w:val="both"/>
    </w:pPr>
    <w:rPr>
      <w:rFonts w:ascii="Tahoma" w:hAnsi="Tahoma" w:cs="Tahoma"/>
      <w:szCs w:val="24"/>
    </w:rPr>
  </w:style>
  <w:style w:type="paragraph" w:customStyle="1" w:styleId="Nadpis10">
    <w:name w:val="Nadpis 1."/>
    <w:next w:val="Zkladntext"/>
    <w:rsid w:val="00CB3794"/>
    <w:pPr>
      <w:widowControl w:val="0"/>
      <w:numPr>
        <w:numId w:val="7"/>
      </w:numPr>
      <w:spacing w:before="100" w:after="80" w:line="240" w:lineRule="auto"/>
      <w:jc w:val="both"/>
    </w:pPr>
    <w:rPr>
      <w:rFonts w:ascii="Arial" w:eastAsia="Times New Roman" w:hAnsi="Arial" w:cs="Times New Roman"/>
      <w:b/>
      <w:caps/>
      <w:snapToGrid w:val="0"/>
      <w:color w:val="000000"/>
      <w:sz w:val="28"/>
      <w:szCs w:val="20"/>
      <w:lang w:eastAsia="cs-CZ"/>
    </w:rPr>
  </w:style>
  <w:style w:type="paragraph" w:customStyle="1" w:styleId="Text11">
    <w:name w:val="Text 1.1."/>
    <w:next w:val="Zkladntext"/>
    <w:rsid w:val="00CB3794"/>
    <w:pPr>
      <w:widowControl w:val="0"/>
      <w:numPr>
        <w:ilvl w:val="1"/>
        <w:numId w:val="7"/>
      </w:numPr>
      <w:spacing w:before="80" w:after="60" w:line="240" w:lineRule="auto"/>
      <w:jc w:val="both"/>
    </w:pPr>
    <w:rPr>
      <w:rFonts w:ascii="Arial" w:eastAsia="Times New Roman" w:hAnsi="Arial" w:cs="Times New Roman"/>
      <w:b/>
      <w:caps/>
      <w:snapToGrid w:val="0"/>
      <w:color w:val="000000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7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7B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4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46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4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463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4A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AF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A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A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92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92768"/>
    <w:rPr>
      <w:rFonts w:ascii="Verdana" w:eastAsia="Times New Roman" w:hAnsi="Verdana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1449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Ďurovičová</dc:creator>
  <cp:keywords/>
  <dc:description/>
  <cp:lastModifiedBy>Janečková Iveta, Bc.</cp:lastModifiedBy>
  <cp:revision>3</cp:revision>
  <cp:lastPrinted>2018-05-10T11:46:00Z</cp:lastPrinted>
  <dcterms:created xsi:type="dcterms:W3CDTF">2019-02-14T10:28:00Z</dcterms:created>
  <dcterms:modified xsi:type="dcterms:W3CDTF">2019-02-18T13:03:00Z</dcterms:modified>
</cp:coreProperties>
</file>