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7C2DAA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649B8">
        <w:rPr>
          <w:rFonts w:ascii="Arial" w:hAnsi="Arial" w:cs="Arial"/>
          <w:b/>
          <w:sz w:val="28"/>
          <w:szCs w:val="28"/>
        </w:rPr>
        <w:t xml:space="preserve">Podklady pro </w:t>
      </w:r>
      <w:r w:rsidR="00C554B3"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0F5014">
        <w:rPr>
          <w:rFonts w:ascii="Arial" w:hAnsi="Arial" w:cs="Arial"/>
          <w:b/>
          <w:sz w:val="28"/>
          <w:szCs w:val="28"/>
        </w:rPr>
        <w:t>so</w:t>
      </w:r>
      <w:r w:rsidR="000F5014">
        <w:rPr>
          <w:rFonts w:ascii="Arial" w:hAnsi="Arial" w:cs="Arial"/>
          <w:b/>
          <w:sz w:val="28"/>
          <w:szCs w:val="28"/>
        </w:rPr>
        <w:t>n</w:t>
      </w:r>
      <w:r w:rsidR="000F5014">
        <w:rPr>
          <w:rFonts w:ascii="Arial" w:hAnsi="Arial" w:cs="Arial"/>
          <w:b/>
          <w:sz w:val="28"/>
          <w:szCs w:val="28"/>
        </w:rPr>
        <w:t>da Z-27</w:t>
      </w: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020A10" w:rsidRDefault="00020A10">
      <w:pPr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FK = filtrační kolona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PPBV = podpovrchový bezpečnostní ventil</w:t>
      </w:r>
    </w:p>
    <w:p w:rsidR="001C0D9C" w:rsidRPr="00FD3EEC" w:rsidRDefault="001C0D9C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 xml:space="preserve">C-T = </w:t>
      </w:r>
      <w:proofErr w:type="spellStart"/>
      <w:r w:rsidRPr="00FD3EEC">
        <w:rPr>
          <w:rFonts w:ascii="Arial" w:hAnsi="Arial"/>
          <w:sz w:val="22"/>
        </w:rPr>
        <w:t>coil</w:t>
      </w:r>
      <w:proofErr w:type="spellEnd"/>
      <w:r w:rsidRPr="00FD3EEC">
        <w:rPr>
          <w:rFonts w:ascii="Arial" w:hAnsi="Arial"/>
          <w:sz w:val="22"/>
        </w:rPr>
        <w:t xml:space="preserve"> </w:t>
      </w:r>
      <w:proofErr w:type="spellStart"/>
      <w:r w:rsidRPr="00FD3EEC">
        <w:rPr>
          <w:rFonts w:ascii="Arial" w:hAnsi="Arial"/>
          <w:sz w:val="22"/>
        </w:rPr>
        <w:t>tubing</w:t>
      </w:r>
      <w:proofErr w:type="spellEnd"/>
    </w:p>
    <w:p w:rsidR="006B136B" w:rsidRPr="00FD3EEC" w:rsidRDefault="006B136B" w:rsidP="006B136B">
      <w:pPr>
        <w:rPr>
          <w:rFonts w:ascii="Arial" w:hAnsi="Arial"/>
          <w:sz w:val="22"/>
        </w:rPr>
      </w:pPr>
      <w:proofErr w:type="gramStart"/>
      <w:r w:rsidRPr="00FD3EEC">
        <w:rPr>
          <w:rFonts w:ascii="Arial" w:hAnsi="Arial"/>
          <w:sz w:val="22"/>
        </w:rPr>
        <w:t>P.O.</w:t>
      </w:r>
      <w:proofErr w:type="gramEnd"/>
      <w:r w:rsidRPr="00FD3EEC">
        <w:rPr>
          <w:rFonts w:ascii="Arial" w:hAnsi="Arial"/>
          <w:sz w:val="22"/>
        </w:rPr>
        <w:t xml:space="preserve"> = proplachovací objímka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 xml:space="preserve">EKM = </w:t>
      </w:r>
      <w:proofErr w:type="spellStart"/>
      <w:r w:rsidRPr="00FD3EEC">
        <w:rPr>
          <w:rFonts w:ascii="Arial" w:hAnsi="Arial"/>
          <w:sz w:val="22"/>
        </w:rPr>
        <w:t>el</w:t>
      </w:r>
      <w:r w:rsidR="00D73482" w:rsidRPr="00FD3EEC">
        <w:rPr>
          <w:rFonts w:ascii="Arial" w:hAnsi="Arial"/>
          <w:sz w:val="22"/>
        </w:rPr>
        <w:t>e</w:t>
      </w:r>
      <w:r w:rsidRPr="00FD3EEC">
        <w:rPr>
          <w:rFonts w:ascii="Arial" w:hAnsi="Arial"/>
          <w:sz w:val="22"/>
        </w:rPr>
        <w:t>ktrokarotážní</w:t>
      </w:r>
      <w:proofErr w:type="spellEnd"/>
      <w:r w:rsidRPr="00FD3EEC">
        <w:rPr>
          <w:rFonts w:ascii="Arial" w:hAnsi="Arial"/>
          <w:sz w:val="22"/>
        </w:rPr>
        <w:t xml:space="preserve"> měření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POS = podzemní oprava sondy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PK = produkční kříž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ČT = čerpací trubky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 xml:space="preserve">W-L = </w:t>
      </w:r>
      <w:proofErr w:type="spellStart"/>
      <w:r w:rsidRPr="00FD3EEC">
        <w:rPr>
          <w:rFonts w:ascii="Arial" w:hAnsi="Arial"/>
          <w:sz w:val="22"/>
        </w:rPr>
        <w:t>wire</w:t>
      </w:r>
      <w:proofErr w:type="spellEnd"/>
      <w:r w:rsidRPr="00FD3EEC">
        <w:rPr>
          <w:rFonts w:ascii="Arial" w:hAnsi="Arial"/>
          <w:sz w:val="22"/>
        </w:rPr>
        <w:t>-line</w:t>
      </w:r>
    </w:p>
    <w:p w:rsidR="00E95443" w:rsidRPr="00FD3EEC" w:rsidRDefault="00D73482" w:rsidP="00E95443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VT = vrtné tyče</w:t>
      </w:r>
    </w:p>
    <w:p w:rsidR="004A2951" w:rsidRPr="00FD3EEC" w:rsidRDefault="001C0D9C" w:rsidP="00E95443">
      <w:pPr>
        <w:rPr>
          <w:rFonts w:ascii="Arial" w:hAnsi="Arial" w:cs="Arial"/>
          <w:sz w:val="22"/>
          <w:szCs w:val="22"/>
        </w:rPr>
      </w:pPr>
      <w:r w:rsidRPr="00FD3EEC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3641D7" w:rsidRDefault="003641D7" w:rsidP="00F17903">
      <w:pPr>
        <w:spacing w:before="120"/>
        <w:rPr>
          <w:rFonts w:ascii="Arial" w:hAnsi="Arial" w:cs="Arial"/>
          <w:b/>
          <w:sz w:val="22"/>
          <w:szCs w:val="22"/>
          <w:u w:val="double"/>
        </w:rPr>
      </w:pP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double"/>
        </w:rPr>
      </w:pPr>
    </w:p>
    <w:p w:rsidR="00F17903" w:rsidRPr="000B18E2" w:rsidRDefault="00F17903" w:rsidP="00F17903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2</w:t>
      </w:r>
      <w:r w:rsidRPr="000B18E2">
        <w:rPr>
          <w:rFonts w:ascii="Arial" w:hAnsi="Arial" w:cs="Arial"/>
          <w:b/>
          <w:sz w:val="22"/>
          <w:szCs w:val="22"/>
          <w:u w:val="double"/>
        </w:rPr>
        <w:t xml:space="preserve">. </w:t>
      </w:r>
      <w:proofErr w:type="spellStart"/>
      <w:r w:rsidRPr="000B18E2">
        <w:rPr>
          <w:rFonts w:ascii="Arial" w:hAnsi="Arial" w:cs="Arial"/>
          <w:b/>
          <w:sz w:val="22"/>
          <w:szCs w:val="22"/>
          <w:u w:val="double"/>
        </w:rPr>
        <w:t>Geologicko</w:t>
      </w:r>
      <w:proofErr w:type="spellEnd"/>
      <w:r w:rsidRPr="000B18E2">
        <w:rPr>
          <w:rFonts w:ascii="Arial" w:hAnsi="Arial" w:cs="Arial"/>
          <w:b/>
          <w:sz w:val="22"/>
          <w:szCs w:val="22"/>
          <w:u w:val="double"/>
        </w:rPr>
        <w:t xml:space="preserve"> - technické podklady pro </w:t>
      </w:r>
      <w:proofErr w:type="gramStart"/>
      <w:r w:rsidRPr="000B18E2">
        <w:rPr>
          <w:rFonts w:ascii="Arial" w:hAnsi="Arial" w:cs="Arial"/>
          <w:b/>
          <w:sz w:val="22"/>
          <w:szCs w:val="22"/>
          <w:u w:val="double"/>
        </w:rPr>
        <w:t>POS</w:t>
      </w:r>
      <w:proofErr w:type="gramEnd"/>
      <w:r w:rsidRPr="000B18E2">
        <w:rPr>
          <w:rFonts w:ascii="Arial" w:hAnsi="Arial" w:cs="Arial"/>
          <w:b/>
          <w:sz w:val="22"/>
          <w:szCs w:val="22"/>
          <w:u w:val="double"/>
        </w:rPr>
        <w:t xml:space="preserve"> na sondě </w:t>
      </w:r>
      <w:r>
        <w:rPr>
          <w:rFonts w:ascii="Arial" w:hAnsi="Arial" w:cs="Arial"/>
          <w:b/>
          <w:sz w:val="22"/>
          <w:szCs w:val="22"/>
          <w:u w:val="double"/>
        </w:rPr>
        <w:t>Z - 27</w:t>
      </w: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</w:t>
      </w:r>
      <w:proofErr w:type="spellStart"/>
      <w:r>
        <w:rPr>
          <w:rFonts w:ascii="Arial" w:hAnsi="Arial" w:cs="Arial"/>
          <w:sz w:val="22"/>
          <w:szCs w:val="22"/>
        </w:rPr>
        <w:t>vtlačně</w:t>
      </w:r>
      <w:proofErr w:type="spellEnd"/>
      <w:r>
        <w:rPr>
          <w:rFonts w:ascii="Arial" w:hAnsi="Arial" w:cs="Arial"/>
          <w:sz w:val="22"/>
          <w:szCs w:val="22"/>
        </w:rPr>
        <w:t xml:space="preserve"> – odběrová)</w:t>
      </w: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FD3EEC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 xml:space="preserve">– obzor otevřen v intervalu </w:t>
      </w: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interval: </w:t>
      </w:r>
      <w:r w:rsidR="00F17903" w:rsidRPr="00BB2EF0">
        <w:rPr>
          <w:rFonts w:ascii="Arial" w:hAnsi="Arial" w:cs="Arial"/>
          <w:sz w:val="22"/>
          <w:szCs w:val="22"/>
        </w:rPr>
        <w:t>1</w:t>
      </w:r>
      <w:r w:rsidR="00E1589B">
        <w:rPr>
          <w:rFonts w:ascii="Arial" w:hAnsi="Arial" w:cs="Arial"/>
          <w:sz w:val="22"/>
          <w:szCs w:val="22"/>
        </w:rPr>
        <w:t> </w:t>
      </w:r>
      <w:r w:rsidR="00F17903">
        <w:rPr>
          <w:rFonts w:ascii="Arial" w:hAnsi="Arial" w:cs="Arial"/>
          <w:sz w:val="22"/>
          <w:szCs w:val="22"/>
        </w:rPr>
        <w:t>2</w:t>
      </w:r>
      <w:r w:rsidR="00E1589B">
        <w:rPr>
          <w:rFonts w:ascii="Arial" w:hAnsi="Arial" w:cs="Arial"/>
          <w:sz w:val="22"/>
          <w:szCs w:val="22"/>
        </w:rPr>
        <w:t>69,5 – 1 272,5</w:t>
      </w:r>
      <w:r>
        <w:rPr>
          <w:rFonts w:ascii="Arial" w:hAnsi="Arial" w:cs="Arial"/>
          <w:sz w:val="22"/>
          <w:szCs w:val="22"/>
        </w:rPr>
        <w:t xml:space="preserve"> m</w:t>
      </w:r>
    </w:p>
    <w:p w:rsidR="00FD3EEC" w:rsidRDefault="00FD3EEC" w:rsidP="00FD3EEC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9B4AAF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FD3EEC" w:rsidRPr="00796A71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FD3EEC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871733" w:rsidRDefault="00FD3EEC" w:rsidP="00FD3EEC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.4. Konstrukce sondy, údaje o pažení a cementaci pažnicových </w:t>
      </w:r>
      <w:proofErr w:type="gramStart"/>
      <w:r w:rsidRPr="00871733">
        <w:rPr>
          <w:rFonts w:ascii="Arial" w:hAnsi="Arial" w:cs="Arial"/>
          <w:b/>
          <w:sz w:val="22"/>
          <w:szCs w:val="22"/>
          <w:u w:val="single"/>
        </w:rPr>
        <w:t>kolon :</w:t>
      </w:r>
      <w:proofErr w:type="gramEnd"/>
    </w:p>
    <w:tbl>
      <w:tblPr>
        <w:tblW w:w="9923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125"/>
        <w:gridCol w:w="1440"/>
        <w:gridCol w:w="1209"/>
        <w:gridCol w:w="1985"/>
        <w:gridCol w:w="2125"/>
      </w:tblGrid>
      <w:tr w:rsidR="00FD3EEC" w:rsidRPr="000C3EE9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Hloubky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Start"/>
            <w:r w:rsidRPr="000C3EE9">
              <w:rPr>
                <w:rFonts w:ascii="Arial" w:hAnsi="Arial" w:cs="Arial"/>
                <w:b/>
                <w:sz w:val="22"/>
                <w:szCs w:val="22"/>
              </w:rPr>
              <w:t>mm )</w:t>
            </w:r>
            <w:proofErr w:type="gramEnd"/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3/8“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0 - 114,60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8,38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Technická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836,73</w:t>
            </w:r>
          </w:p>
        </w:tc>
        <w:tc>
          <w:tcPr>
            <w:tcW w:w="12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7,92</w:t>
            </w:r>
          </w:p>
        </w:tc>
        <w:tc>
          <w:tcPr>
            <w:tcW w:w="212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>cementace patou</w:t>
            </w:r>
            <w:r>
              <w:rPr>
                <w:rFonts w:ascii="Arial" w:hAnsi="Arial" w:cs="Arial"/>
                <w:sz w:val="22"/>
                <w:szCs w:val="22"/>
              </w:rPr>
              <w:t xml:space="preserve">, hlava cementu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dle TK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 hl. 5 m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7“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1 287,00</w:t>
            </w:r>
          </w:p>
        </w:tc>
        <w:tc>
          <w:tcPr>
            <w:tcW w:w="120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J-55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9,19</w:t>
            </w:r>
          </w:p>
        </w:tc>
        <w:tc>
          <w:tcPr>
            <w:tcW w:w="21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cementace patou, hlava cementu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dle TK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 hl. 15 m</w:t>
            </w:r>
          </w:p>
        </w:tc>
      </w:tr>
    </w:tbl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871733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FD3EEC" w:rsidRPr="001E6767" w:rsidRDefault="00FD3EEC" w:rsidP="00FD3EEC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1E6767">
        <w:rPr>
          <w:rFonts w:ascii="Arial" w:hAnsi="Arial" w:cs="Arial"/>
          <w:sz w:val="22"/>
          <w:szCs w:val="22"/>
          <w:u w:val="single"/>
        </w:rPr>
        <w:t>Poslední</w:t>
      </w:r>
      <w:r w:rsidR="0030503C">
        <w:rPr>
          <w:rFonts w:ascii="Arial" w:hAnsi="Arial" w:cs="Arial"/>
          <w:sz w:val="22"/>
          <w:szCs w:val="22"/>
          <w:u w:val="single"/>
        </w:rPr>
        <w:t xml:space="preserve"> POS byla vykonaná ( </w:t>
      </w:r>
      <w:proofErr w:type="gramStart"/>
      <w:r w:rsidR="0030503C">
        <w:rPr>
          <w:rFonts w:ascii="Arial" w:hAnsi="Arial" w:cs="Arial"/>
          <w:sz w:val="22"/>
          <w:szCs w:val="22"/>
          <w:u w:val="single"/>
        </w:rPr>
        <w:t>datum</w:t>
      </w:r>
      <w:proofErr w:type="gramEnd"/>
      <w:r w:rsidR="0030503C">
        <w:rPr>
          <w:rFonts w:ascii="Arial" w:hAnsi="Arial" w:cs="Arial"/>
          <w:sz w:val="22"/>
          <w:szCs w:val="22"/>
          <w:u w:val="single"/>
        </w:rPr>
        <w:t xml:space="preserve"> ,</w:t>
      </w:r>
      <w:proofErr w:type="gramStart"/>
      <w:r w:rsidRPr="001E6767">
        <w:rPr>
          <w:rFonts w:ascii="Arial" w:hAnsi="Arial" w:cs="Arial"/>
          <w:sz w:val="22"/>
          <w:szCs w:val="22"/>
          <w:u w:val="single"/>
        </w:rPr>
        <w:t>1998</w:t>
      </w:r>
      <w:proofErr w:type="gramEnd"/>
      <w:r w:rsidRPr="001E6767">
        <w:rPr>
          <w:rFonts w:ascii="Arial" w:hAnsi="Arial" w:cs="Arial"/>
          <w:sz w:val="22"/>
          <w:szCs w:val="22"/>
          <w:u w:val="single"/>
        </w:rPr>
        <w:t xml:space="preserve">): </w:t>
      </w:r>
    </w:p>
    <w:p w:rsidR="00FD3EE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- </w:t>
      </w:r>
      <w:r w:rsidR="0030503C">
        <w:rPr>
          <w:rFonts w:ascii="Arial" w:hAnsi="Arial" w:cs="Arial"/>
          <w:sz w:val="22"/>
          <w:szCs w:val="22"/>
          <w:lang w:val="sk-SK"/>
        </w:rPr>
        <w:t xml:space="preserve">v </w:t>
      </w:r>
      <w:r w:rsidRPr="00871733">
        <w:rPr>
          <w:rFonts w:ascii="Arial" w:hAnsi="Arial" w:cs="Arial"/>
          <w:sz w:val="22"/>
          <w:szCs w:val="22"/>
        </w:rPr>
        <w:t xml:space="preserve">provozu bez opravy od r. </w:t>
      </w:r>
      <w:r>
        <w:rPr>
          <w:rFonts w:ascii="Arial" w:hAnsi="Arial" w:cs="Arial"/>
          <w:sz w:val="22"/>
          <w:szCs w:val="22"/>
        </w:rPr>
        <w:t>2000</w:t>
      </w:r>
      <w:r w:rsidRPr="00871733">
        <w:rPr>
          <w:rFonts w:ascii="Arial" w:hAnsi="Arial" w:cs="Arial"/>
          <w:sz w:val="22"/>
          <w:szCs w:val="22"/>
        </w:rPr>
        <w:t xml:space="preserve">, v r. </w:t>
      </w:r>
      <w:r>
        <w:rPr>
          <w:rFonts w:ascii="Arial" w:hAnsi="Arial" w:cs="Arial"/>
          <w:sz w:val="22"/>
          <w:szCs w:val="22"/>
        </w:rPr>
        <w:t>1998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provedena kontrola stupaček a </w:t>
      </w:r>
      <w:proofErr w:type="spellStart"/>
      <w:r>
        <w:rPr>
          <w:rFonts w:ascii="Arial" w:hAnsi="Arial" w:cs="Arial"/>
          <w:sz w:val="22"/>
          <w:szCs w:val="22"/>
        </w:rPr>
        <w:t>pakrovací</w:t>
      </w:r>
      <w:proofErr w:type="spellEnd"/>
      <w:r>
        <w:rPr>
          <w:rFonts w:ascii="Arial" w:hAnsi="Arial" w:cs="Arial"/>
          <w:sz w:val="22"/>
          <w:szCs w:val="22"/>
        </w:rPr>
        <w:t xml:space="preserve"> sestavy, jejich přetěsnění a zapuštění zpět (včetně původní </w:t>
      </w:r>
      <w:proofErr w:type="spellStart"/>
      <w:r>
        <w:rPr>
          <w:rFonts w:ascii="Arial" w:hAnsi="Arial" w:cs="Arial"/>
          <w:sz w:val="22"/>
          <w:szCs w:val="22"/>
        </w:rPr>
        <w:t>pakrovací</w:t>
      </w:r>
      <w:proofErr w:type="spellEnd"/>
      <w:r>
        <w:rPr>
          <w:rFonts w:ascii="Arial" w:hAnsi="Arial" w:cs="Arial"/>
          <w:sz w:val="22"/>
          <w:szCs w:val="22"/>
        </w:rPr>
        <w:t xml:space="preserve"> sestavy), výměna PK. Filtrační kol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na nebyla měněna a je v sondě instalována od 6/1994.</w:t>
      </w:r>
    </w:p>
    <w:p w:rsidR="00FD3EEC" w:rsidRDefault="00FD3EEC" w:rsidP="00FD3EEC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FD3EEC" w:rsidRPr="009B4AAF" w:rsidRDefault="00FD3EEC" w:rsidP="00FD3EEC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 xml:space="preserve">Konečná hloubka sondy 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- 1 288,00 m – po odvrtání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 xml:space="preserve">Hlava pískové zátky (pod FK) </w:t>
      </w:r>
      <w:r w:rsidRPr="0030503C">
        <w:rPr>
          <w:rFonts w:ascii="Arial" w:hAnsi="Arial" w:cs="Arial"/>
          <w:sz w:val="22"/>
          <w:szCs w:val="22"/>
        </w:rPr>
        <w:tab/>
        <w:t>- 1 283,00 m – hlava cementového mostku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>Pata FK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- 1 273,23 m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>Hlava pískové zátky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- 1 274,90 m – písková zátka pod patou FK</w:t>
      </w:r>
    </w:p>
    <w:p w:rsidR="00FD3EEC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D3EEC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FD3EEC" w:rsidRPr="009B4AAF" w:rsidRDefault="00FD3EEC" w:rsidP="00FD3EEC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>Povrchové vystrojeni sondy:</w:t>
      </w:r>
    </w:p>
    <w:p w:rsidR="00FD3EEC" w:rsidRPr="009B4AAF" w:rsidRDefault="00FD3EEC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30503C" w:rsidRPr="009B4AAF" w:rsidRDefault="0030503C" w:rsidP="003050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vrchní čá</w:t>
      </w:r>
      <w:r>
        <w:rPr>
          <w:rFonts w:ascii="Arial" w:hAnsi="Arial" w:cs="Arial"/>
          <w:sz w:val="22"/>
          <w:szCs w:val="22"/>
        </w:rPr>
        <w:t>st PK DKG 3 1/8“ x 3 1/8“ -  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30503C" w:rsidRPr="009B4AAF" w:rsidRDefault="0030503C" w:rsidP="003050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</w:t>
      </w:r>
      <w:r>
        <w:rPr>
          <w:rFonts w:ascii="Arial" w:hAnsi="Arial" w:cs="Arial"/>
          <w:sz w:val="22"/>
          <w:szCs w:val="22"/>
        </w:rPr>
        <w:t xml:space="preserve"> příruba 3 1/8“ x 7 1/16“ - 21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FD3EEC" w:rsidRPr="009B4AAF" w:rsidRDefault="00FD3EEC" w:rsidP="00FD3EE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spodní část </w:t>
      </w:r>
      <w:r w:rsidR="00472CEA">
        <w:rPr>
          <w:rFonts w:ascii="Arial" w:hAnsi="Arial" w:cs="Arial"/>
          <w:sz w:val="22"/>
          <w:szCs w:val="22"/>
        </w:rPr>
        <w:t>PK 7 1/16“ x 11</w:t>
      </w:r>
      <w:r w:rsidR="0030503C">
        <w:rPr>
          <w:rFonts w:ascii="Arial" w:hAnsi="Arial" w:cs="Arial"/>
          <w:sz w:val="22"/>
          <w:szCs w:val="22"/>
        </w:rPr>
        <w:t xml:space="preserve">“ -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AA4472" w:rsidRDefault="00AA4472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</w:p>
    <w:p w:rsidR="00FD3EEC" w:rsidRPr="009B4AAF" w:rsidRDefault="00FD3EEC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lastRenderedPageBreak/>
        <w:t>Ústi</w:t>
      </w:r>
      <w:r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FD3EEC" w:rsidRPr="009B4AAF" w:rsidRDefault="0030503C" w:rsidP="00FD3EEC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příruba 11“ - 21</w:t>
      </w:r>
      <w:r w:rsidR="00FD3EEC" w:rsidRPr="009B4AAF">
        <w:rPr>
          <w:rFonts w:ascii="Arial" w:hAnsi="Arial" w:cs="Arial"/>
          <w:sz w:val="22"/>
          <w:szCs w:val="22"/>
        </w:rPr>
        <w:t>MPa</w:t>
      </w:r>
    </w:p>
    <w:p w:rsidR="00FD3EEC" w:rsidRPr="009B4AAF" w:rsidRDefault="00FD3EEC" w:rsidP="00FD3EE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Podpovrchové vystrojeni sondy: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filtrační kolona 2 7/8“ SN;  PFK: </w:t>
      </w:r>
      <w:proofErr w:type="gramStart"/>
      <w:r>
        <w:rPr>
          <w:rFonts w:ascii="Arial" w:hAnsi="Arial" w:cs="Arial"/>
          <w:sz w:val="22"/>
          <w:szCs w:val="22"/>
        </w:rPr>
        <w:t>1 273,23 m ; HFK</w:t>
      </w:r>
      <w:proofErr w:type="gramEnd"/>
      <w:r>
        <w:rPr>
          <w:rFonts w:ascii="Arial" w:hAnsi="Arial" w:cs="Arial"/>
          <w:sz w:val="22"/>
          <w:szCs w:val="22"/>
        </w:rPr>
        <w:t>:  1 239,25 m</w:t>
      </w:r>
    </w:p>
    <w:p w:rsidR="003651A0" w:rsidRDefault="0030503C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naváděcí objímka 93 x 50 – v  </w:t>
      </w:r>
      <w:r w:rsidR="003651A0">
        <w:rPr>
          <w:rFonts w:ascii="Arial" w:hAnsi="Arial" w:cs="Arial"/>
          <w:sz w:val="22"/>
          <w:szCs w:val="22"/>
        </w:rPr>
        <w:t>1 238,71 m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</w:t>
      </w:r>
      <w:r w:rsidR="0030503C">
        <w:rPr>
          <w:rFonts w:ascii="Arial" w:hAnsi="Arial" w:cs="Arial"/>
          <w:sz w:val="22"/>
          <w:szCs w:val="22"/>
        </w:rPr>
        <w:t xml:space="preserve">ovací vsuvka No-Go </w:t>
      </w:r>
      <w:proofErr w:type="gramStart"/>
      <w:r w:rsidR="0030503C">
        <w:rPr>
          <w:rFonts w:ascii="Arial" w:hAnsi="Arial" w:cs="Arial"/>
          <w:sz w:val="22"/>
          <w:szCs w:val="22"/>
        </w:rPr>
        <w:t xml:space="preserve">2 7/8“ –  v  </w:t>
      </w:r>
      <w:r>
        <w:rPr>
          <w:rFonts w:ascii="Arial" w:hAnsi="Arial" w:cs="Arial"/>
          <w:sz w:val="22"/>
          <w:szCs w:val="22"/>
        </w:rPr>
        <w:t>1 238,52</w:t>
      </w:r>
      <w:proofErr w:type="gramEnd"/>
      <w:r>
        <w:rPr>
          <w:rFonts w:ascii="Arial" w:hAnsi="Arial" w:cs="Arial"/>
          <w:sz w:val="22"/>
          <w:szCs w:val="22"/>
        </w:rPr>
        <w:t xml:space="preserve"> m</w:t>
      </w:r>
    </w:p>
    <w:p w:rsidR="003651A0" w:rsidRPr="00CD0E22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CD0E22">
        <w:rPr>
          <w:rFonts w:ascii="Arial" w:hAnsi="Arial" w:cs="Arial"/>
          <w:sz w:val="22"/>
          <w:szCs w:val="22"/>
        </w:rPr>
        <w:t>akr</w:t>
      </w:r>
      <w:proofErr w:type="spellEnd"/>
      <w:r w:rsidRPr="00CD0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Husky M-1 7“ x 2 7/8“ SV,</w:t>
      </w:r>
      <w:r w:rsidRPr="00CD0E22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3</w:t>
      </w:r>
      <w:r w:rsidRPr="00CD0E22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6</w:t>
      </w:r>
      <w:r w:rsidRPr="00CD0E2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D0E22">
        <w:rPr>
          <w:rFonts w:ascii="Arial" w:hAnsi="Arial" w:cs="Arial"/>
          <w:sz w:val="22"/>
          <w:szCs w:val="22"/>
        </w:rPr>
        <w:t>lb</w:t>
      </w:r>
      <w:r>
        <w:rPr>
          <w:rFonts w:ascii="Arial" w:hAnsi="Arial" w:cs="Arial"/>
          <w:sz w:val="22"/>
          <w:szCs w:val="22"/>
        </w:rPr>
        <w:t>s</w:t>
      </w:r>
      <w:proofErr w:type="spellEnd"/>
      <w:r w:rsidRPr="00CD0E22">
        <w:rPr>
          <w:rFonts w:ascii="Arial" w:hAnsi="Arial" w:cs="Arial"/>
          <w:sz w:val="22"/>
          <w:szCs w:val="22"/>
        </w:rPr>
        <w:t xml:space="preserve">/ft – </w:t>
      </w:r>
      <w:r>
        <w:rPr>
          <w:rFonts w:ascii="Arial" w:hAnsi="Arial" w:cs="Arial"/>
          <w:sz w:val="22"/>
          <w:szCs w:val="22"/>
        </w:rPr>
        <w:t xml:space="preserve"> v   1 238,29</w:t>
      </w:r>
      <w:proofErr w:type="gramEnd"/>
      <w:r w:rsidRPr="00CD0E22">
        <w:rPr>
          <w:rFonts w:ascii="Arial" w:hAnsi="Arial" w:cs="Arial"/>
          <w:sz w:val="22"/>
          <w:szCs w:val="22"/>
        </w:rPr>
        <w:t xml:space="preserve"> m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stupačka  2 7/8“ SV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proplachovací </w:t>
      </w:r>
      <w:proofErr w:type="gramStart"/>
      <w:r>
        <w:rPr>
          <w:rFonts w:ascii="Arial" w:hAnsi="Arial" w:cs="Arial"/>
          <w:sz w:val="22"/>
          <w:szCs w:val="22"/>
        </w:rPr>
        <w:t>objímka  OTIS</w:t>
      </w:r>
      <w:proofErr w:type="gramEnd"/>
      <w:r>
        <w:rPr>
          <w:rFonts w:ascii="Arial" w:hAnsi="Arial" w:cs="Arial"/>
          <w:sz w:val="22"/>
          <w:szCs w:val="22"/>
        </w:rPr>
        <w:t xml:space="preserve"> 2 7/8“ SV - v  1 229,83 m – otvírání směrem dolů</w:t>
      </w:r>
    </w:p>
    <w:p w:rsidR="0030503C" w:rsidRDefault="0030503C" w:rsidP="0030503C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objímka M 2 7/8“ UPTBG x Č 3 ½“ SV (Santa-</w:t>
      </w:r>
      <w:proofErr w:type="spellStart"/>
      <w:r>
        <w:rPr>
          <w:rFonts w:ascii="Arial" w:hAnsi="Arial" w:cs="Arial"/>
          <w:sz w:val="22"/>
          <w:szCs w:val="22"/>
        </w:rPr>
        <w:t>Fé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objímka 3 ½“ UPTBG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 ks stupaček 3 ½“ UPTBG</w:t>
      </w:r>
      <w:r w:rsidRPr="003651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J-55,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s.s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6,45 mm</w:t>
      </w:r>
    </w:p>
    <w:p w:rsidR="00FD3EEC" w:rsidRDefault="003651A0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3651A0">
        <w:rPr>
          <w:rFonts w:ascii="Arial" w:hAnsi="Arial" w:cs="Arial"/>
          <w:b/>
          <w:sz w:val="22"/>
          <w:szCs w:val="22"/>
          <w:u w:val="single"/>
        </w:rPr>
        <w:t>2.6. Cílem POS:</w:t>
      </w:r>
    </w:p>
    <w:p w:rsidR="003651A0" w:rsidRPr="00691305" w:rsidRDefault="00F17903" w:rsidP="00691305">
      <w:pPr>
        <w:pStyle w:val="Odstavecseseznamem"/>
        <w:numPr>
          <w:ilvl w:val="0"/>
          <w:numId w:val="13"/>
        </w:numPr>
        <w:spacing w:before="240" w:line="360" w:lineRule="auto"/>
        <w:ind w:left="1066" w:hanging="357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kontrola technického stavu EK</w:t>
      </w:r>
      <w:r w:rsidR="00691305">
        <w:rPr>
          <w:rFonts w:ascii="Arial" w:hAnsi="Arial"/>
          <w:sz w:val="22"/>
        </w:rPr>
        <w:t>M (AC, AT, DDN, GK, CCL, MFC</w:t>
      </w:r>
      <w:r w:rsidRPr="00691305">
        <w:rPr>
          <w:rFonts w:ascii="Arial" w:hAnsi="Arial"/>
          <w:sz w:val="22"/>
        </w:rPr>
        <w:t xml:space="preserve">), </w:t>
      </w:r>
    </w:p>
    <w:p w:rsidR="0030503C" w:rsidRPr="00691305" w:rsidRDefault="0030503C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instal</w:t>
      </w:r>
      <w:r w:rsidR="00F0629C">
        <w:rPr>
          <w:rFonts w:ascii="Arial" w:hAnsi="Arial"/>
          <w:sz w:val="22"/>
        </w:rPr>
        <w:t xml:space="preserve">ace nového PK 3 1/8“ –  21MPa, </w:t>
      </w:r>
      <w:r w:rsidRPr="00691305">
        <w:rPr>
          <w:rFonts w:ascii="Arial" w:hAnsi="Arial"/>
          <w:sz w:val="22"/>
        </w:rPr>
        <w:t>sp</w:t>
      </w:r>
      <w:r w:rsidR="00F0629C">
        <w:rPr>
          <w:rFonts w:ascii="Arial" w:hAnsi="Arial"/>
          <w:sz w:val="22"/>
        </w:rPr>
        <w:t xml:space="preserve">odní část PK  7 1/16“x 7 1/16“ s úpravou na </w:t>
      </w:r>
      <w:proofErr w:type="gramStart"/>
      <w:r w:rsidR="00F0629C">
        <w:rPr>
          <w:rFonts w:ascii="Arial" w:hAnsi="Arial"/>
          <w:sz w:val="22"/>
        </w:rPr>
        <w:t>ovládaní</w:t>
      </w:r>
      <w:proofErr w:type="gramEnd"/>
      <w:r w:rsidR="00F0629C">
        <w:rPr>
          <w:rFonts w:ascii="Arial" w:hAnsi="Arial"/>
          <w:sz w:val="22"/>
        </w:rPr>
        <w:t xml:space="preserve"> PPBV, </w:t>
      </w:r>
      <w:r w:rsidRPr="00691305">
        <w:rPr>
          <w:rFonts w:ascii="Arial" w:hAnsi="Arial"/>
          <w:sz w:val="22"/>
        </w:rPr>
        <w:t>mezi hlavní posouvač a kostku nového PK instalovat PBV 3 1/8“ – 21MPa, kostku PK upravit na nástřik metanolu,</w:t>
      </w:r>
    </w:p>
    <w:p w:rsidR="00691305" w:rsidRPr="00691305" w:rsidRDefault="00691305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původní PK bude kompletně repasovaný,</w:t>
      </w:r>
    </w:p>
    <w:p w:rsid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</w:t>
      </w:r>
      <w:r w:rsidR="00F17903" w:rsidRPr="003651A0">
        <w:rPr>
          <w:rFonts w:ascii="Arial" w:hAnsi="Arial"/>
          <w:sz w:val="22"/>
        </w:rPr>
        <w:t>bvrtání</w:t>
      </w:r>
      <w:proofErr w:type="spellEnd"/>
      <w:r w:rsidR="00F17903" w:rsidRPr="003651A0">
        <w:rPr>
          <w:rFonts w:ascii="Arial" w:hAnsi="Arial"/>
          <w:sz w:val="22"/>
        </w:rPr>
        <w:t xml:space="preserve"> a vytažení stá</w:t>
      </w:r>
      <w:r>
        <w:rPr>
          <w:rFonts w:ascii="Arial" w:hAnsi="Arial"/>
          <w:sz w:val="22"/>
        </w:rPr>
        <w:t>vající FK,</w:t>
      </w:r>
    </w:p>
    <w:p w:rsidR="00836E0E" w:rsidRDefault="00836E0E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odfrézovaní </w:t>
      </w:r>
      <w:proofErr w:type="spellStart"/>
      <w:r>
        <w:rPr>
          <w:rFonts w:ascii="Arial" w:hAnsi="Arial"/>
          <w:sz w:val="22"/>
        </w:rPr>
        <w:t>Těk</w:t>
      </w:r>
      <w:proofErr w:type="spellEnd"/>
      <w:r>
        <w:rPr>
          <w:rFonts w:ascii="Arial" w:hAnsi="Arial"/>
          <w:sz w:val="22"/>
        </w:rPr>
        <w:t xml:space="preserve"> 7“ </w:t>
      </w:r>
      <w:proofErr w:type="spellStart"/>
      <w:proofErr w:type="gramStart"/>
      <w:r>
        <w:rPr>
          <w:rFonts w:ascii="Arial" w:hAnsi="Arial"/>
          <w:sz w:val="22"/>
        </w:rPr>
        <w:t>s.s</w:t>
      </w:r>
      <w:proofErr w:type="spellEnd"/>
      <w:r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 xml:space="preserve"> 9,19 mm</w:t>
      </w:r>
    </w:p>
    <w:p w:rsidR="00836E0E" w:rsidRPr="003651A0" w:rsidRDefault="00836E0E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rozšíření intervalu OH na </w:t>
      </w:r>
      <w:r>
        <w:rPr>
          <w:rFonts w:ascii="Arial" w:hAnsi="Arial" w:cs="Arial"/>
          <w:sz w:val="22"/>
        </w:rPr>
        <w:t>Ø</w:t>
      </w:r>
      <w:r>
        <w:rPr>
          <w:rFonts w:ascii="Arial" w:hAnsi="Arial"/>
          <w:sz w:val="22"/>
        </w:rPr>
        <w:t xml:space="preserve"> 280 mm,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F17903" w:rsidRPr="003651A0">
        <w:rPr>
          <w:rFonts w:ascii="Arial" w:hAnsi="Arial"/>
          <w:sz w:val="22"/>
        </w:rPr>
        <w:t xml:space="preserve">nstalace nové FK (2 </w:t>
      </w:r>
      <w:r w:rsidR="00E1589B" w:rsidRPr="003651A0">
        <w:rPr>
          <w:rFonts w:ascii="Arial" w:hAnsi="Arial"/>
          <w:sz w:val="22"/>
        </w:rPr>
        <w:t>7</w:t>
      </w:r>
      <w:r w:rsidR="00F17903" w:rsidRPr="003651A0">
        <w:rPr>
          <w:rFonts w:ascii="Arial" w:hAnsi="Arial"/>
          <w:sz w:val="22"/>
        </w:rPr>
        <w:t>/8“)</w:t>
      </w:r>
      <w:r>
        <w:rPr>
          <w:rFonts w:ascii="Arial" w:hAnsi="Arial"/>
          <w:sz w:val="22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sondu vystrojit novou </w:t>
      </w:r>
      <w:proofErr w:type="spellStart"/>
      <w:r w:rsidRPr="003651A0">
        <w:rPr>
          <w:rFonts w:ascii="Arial" w:hAnsi="Arial"/>
          <w:sz w:val="22"/>
        </w:rPr>
        <w:t>pakrovací</w:t>
      </w:r>
      <w:proofErr w:type="spellEnd"/>
      <w:r w:rsidRPr="003651A0">
        <w:rPr>
          <w:rFonts w:ascii="Arial" w:hAnsi="Arial"/>
          <w:sz w:val="22"/>
        </w:rPr>
        <w:t xml:space="preserve"> sestavou (3 ½“), PPBV (3 ½“), plynotěsnými čerpacími trubkami (</w:t>
      </w:r>
      <w:proofErr w:type="gramStart"/>
      <w:r w:rsidRPr="003651A0">
        <w:rPr>
          <w:rFonts w:ascii="Arial" w:hAnsi="Arial"/>
          <w:sz w:val="22"/>
        </w:rPr>
        <w:t>VAGT 3 ½“),  bez</w:t>
      </w:r>
      <w:proofErr w:type="gramEnd"/>
      <w:r w:rsidRPr="003651A0">
        <w:rPr>
          <w:rFonts w:ascii="Arial" w:hAnsi="Arial"/>
          <w:sz w:val="22"/>
        </w:rPr>
        <w:t xml:space="preserve"> </w:t>
      </w:r>
      <w:r w:rsidR="00FC6E99" w:rsidRPr="003651A0">
        <w:rPr>
          <w:rFonts w:ascii="Arial" w:hAnsi="Arial"/>
          <w:sz w:val="22"/>
        </w:rPr>
        <w:t>proplachovací</w:t>
      </w:r>
      <w:r w:rsidRPr="003651A0">
        <w:rPr>
          <w:rFonts w:ascii="Arial" w:hAnsi="Arial"/>
          <w:sz w:val="22"/>
        </w:rPr>
        <w:t xml:space="preserve"> objímky,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F17903" w:rsidRPr="003651A0">
        <w:rPr>
          <w:rFonts w:ascii="Arial" w:hAnsi="Arial"/>
          <w:sz w:val="22"/>
        </w:rPr>
        <w:t>živení sondy po vystrojení (</w:t>
      </w:r>
      <w:proofErr w:type="spellStart"/>
      <w:r w:rsidR="00F17903" w:rsidRPr="003651A0">
        <w:rPr>
          <w:rFonts w:ascii="Arial" w:hAnsi="Arial"/>
          <w:sz w:val="22"/>
        </w:rPr>
        <w:t>pístováním</w:t>
      </w:r>
      <w:proofErr w:type="spellEnd"/>
      <w:r w:rsidR="00F17903" w:rsidRPr="003651A0">
        <w:rPr>
          <w:rFonts w:ascii="Arial" w:hAnsi="Arial"/>
          <w:sz w:val="22"/>
        </w:rPr>
        <w:t xml:space="preserve"> a samotokem)</w:t>
      </w:r>
      <w:r>
        <w:rPr>
          <w:rFonts w:ascii="Arial" w:hAnsi="Arial"/>
          <w:sz w:val="22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F17903" w:rsidRPr="003651A0">
        <w:rPr>
          <w:rFonts w:ascii="Arial" w:hAnsi="Arial"/>
          <w:sz w:val="22"/>
        </w:rPr>
        <w:t>nstalace nového roš</w:t>
      </w:r>
      <w:r>
        <w:rPr>
          <w:rFonts w:ascii="Arial" w:hAnsi="Arial"/>
          <w:sz w:val="22"/>
        </w:rPr>
        <w:t>tu sondy včetně rámu,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nátěr PK,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F17903" w:rsidRPr="003651A0">
        <w:rPr>
          <w:rFonts w:ascii="Arial" w:hAnsi="Arial"/>
          <w:sz w:val="22"/>
        </w:rPr>
        <w:t>řipojení plynové přípojky včetně odstranění „</w:t>
      </w:r>
      <w:proofErr w:type="spellStart"/>
      <w:r w:rsidR="00F17903" w:rsidRPr="003651A0">
        <w:rPr>
          <w:rFonts w:ascii="Arial" w:hAnsi="Arial"/>
          <w:sz w:val="22"/>
        </w:rPr>
        <w:t>kapáku</w:t>
      </w:r>
      <w:proofErr w:type="spellEnd"/>
      <w:r w:rsidR="00F17903" w:rsidRPr="003651A0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nátěr přípojky,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896566" w:rsidRPr="003651A0">
        <w:rPr>
          <w:rFonts w:ascii="Arial" w:hAnsi="Arial"/>
          <w:sz w:val="22"/>
        </w:rPr>
        <w:t>říprava pro napo</w:t>
      </w:r>
      <w:r>
        <w:rPr>
          <w:rFonts w:ascii="Arial" w:hAnsi="Arial"/>
          <w:sz w:val="22"/>
        </w:rPr>
        <w:t>jení na HBS.</w:t>
      </w:r>
    </w:p>
    <w:p w:rsidR="00F17903" w:rsidRDefault="00F17903" w:rsidP="003651A0">
      <w:pPr>
        <w:spacing w:before="120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t xml:space="preserve">Vystrojení sondy musí vyhovovat požadavkům ustanovení vyhlášky ČBÚ č. </w:t>
      </w:r>
      <w:r w:rsidRPr="003651A0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3651A0" w:rsidRPr="003651A0" w:rsidRDefault="003651A0" w:rsidP="003651A0">
      <w:pPr>
        <w:spacing w:before="120"/>
        <w:rPr>
          <w:rFonts w:ascii="Arial" w:hAnsi="Arial" w:cs="Arial"/>
          <w:sz w:val="22"/>
          <w:szCs w:val="22"/>
        </w:rPr>
      </w:pPr>
    </w:p>
    <w:p w:rsidR="003651A0" w:rsidRDefault="003651A0" w:rsidP="003651A0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FK  - viz výše (schéma stávající FK bude poskytnuto zadavatelem na vyžádání – </w:t>
      </w:r>
      <w:r w:rsidRPr="00696A68">
        <w:rPr>
          <w:rFonts w:ascii="Arial" w:hAnsi="Arial" w:cs="Arial"/>
          <w:sz w:val="22"/>
          <w:szCs w:val="22"/>
          <w:u w:val="single"/>
        </w:rPr>
        <w:t xml:space="preserve">sestavu nové FK nutno pro účely projektu uvažovat v obdobné konfiguraci jako je </w:t>
      </w:r>
      <w:proofErr w:type="gramStart"/>
      <w:r w:rsidRPr="00696A68">
        <w:rPr>
          <w:rFonts w:ascii="Arial" w:hAnsi="Arial" w:cs="Arial"/>
          <w:sz w:val="22"/>
          <w:szCs w:val="22"/>
          <w:u w:val="single"/>
        </w:rPr>
        <w:t xml:space="preserve">stávající </w:t>
      </w:r>
      <w:r>
        <w:rPr>
          <w:rFonts w:ascii="Arial" w:hAnsi="Arial" w:cs="Arial"/>
          <w:sz w:val="22"/>
          <w:szCs w:val="22"/>
        </w:rPr>
        <w:t>!)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69130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3651A0">
        <w:rPr>
          <w:rFonts w:ascii="Arial" w:hAnsi="Arial" w:cs="Arial"/>
          <w:b/>
          <w:sz w:val="22"/>
          <w:szCs w:val="22"/>
          <w:u w:val="single"/>
        </w:rPr>
        <w:t>.7</w:t>
      </w:r>
      <w:r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20 % </w:t>
      </w:r>
      <w:proofErr w:type="spellStart"/>
      <w:r>
        <w:rPr>
          <w:rFonts w:ascii="Arial" w:hAnsi="Arial" w:cs="Arial"/>
          <w:sz w:val="22"/>
          <w:szCs w:val="22"/>
        </w:rPr>
        <w:t>nadhydrostatický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691305" w:rsidRDefault="00691305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.8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kontrola ústí, měření tlaků, úprava vývodů a přetěsnění ve vrtném sklepu,</w:t>
      </w:r>
    </w:p>
    <w:p w:rsidR="00131051" w:rsidRPr="00691305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 xml:space="preserve">bezpečné umrtvení sondy s ohledem na stávající výstroj ( v rozpočtu opravy uvažovat i s variantou potřeby mechanické perforace stupaček v případě, že se </w:t>
      </w:r>
      <w:proofErr w:type="gramStart"/>
      <w:r w:rsidRPr="00691305">
        <w:rPr>
          <w:rFonts w:ascii="Arial" w:hAnsi="Arial"/>
          <w:sz w:val="22"/>
        </w:rPr>
        <w:t>P.O.</w:t>
      </w:r>
      <w:proofErr w:type="gramEnd"/>
      <w:r w:rsidRPr="00691305">
        <w:rPr>
          <w:rFonts w:ascii="Arial" w:hAnsi="Arial"/>
          <w:sz w:val="22"/>
        </w:rPr>
        <w:t xml:space="preserve"> nepodaří otevřít), - aplikovat pracovní kapalinu vhodného složení, která bude elim</w:t>
      </w:r>
      <w:r w:rsidR="00691305" w:rsidRPr="00691305">
        <w:rPr>
          <w:rFonts w:ascii="Arial" w:hAnsi="Arial"/>
          <w:sz w:val="22"/>
        </w:rPr>
        <w:t>inovat ztráty do ložiska,</w:t>
      </w:r>
    </w:p>
    <w:p w:rsidR="00131051" w:rsidRPr="003651A0" w:rsidRDefault="00131051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montáž </w:t>
      </w:r>
      <w:proofErr w:type="spellStart"/>
      <w:r w:rsidRPr="003651A0">
        <w:rPr>
          <w:rFonts w:ascii="Arial" w:hAnsi="Arial"/>
          <w:sz w:val="22"/>
        </w:rPr>
        <w:t>preventru</w:t>
      </w:r>
      <w:proofErr w:type="spellEnd"/>
      <w:r w:rsidRPr="003651A0">
        <w:rPr>
          <w:rFonts w:ascii="Arial" w:hAnsi="Arial"/>
          <w:sz w:val="22"/>
        </w:rPr>
        <w:t>, tlaková a funkční zkouška,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vytažení stávajícího vystrojení,</w:t>
      </w:r>
      <w:r w:rsidR="003651A0" w:rsidRPr="003651A0">
        <w:rPr>
          <w:rFonts w:ascii="Arial" w:hAnsi="Arial"/>
          <w:sz w:val="22"/>
        </w:rPr>
        <w:t xml:space="preserve"> </w:t>
      </w:r>
      <w:r w:rsidR="003651A0" w:rsidRPr="00691305">
        <w:rPr>
          <w:rFonts w:ascii="Arial" w:hAnsi="Arial"/>
          <w:sz w:val="22"/>
        </w:rPr>
        <w:t xml:space="preserve">a odvoz </w:t>
      </w:r>
      <w:r w:rsidR="00691305">
        <w:rPr>
          <w:rFonts w:ascii="Arial" w:hAnsi="Arial"/>
          <w:sz w:val="22"/>
        </w:rPr>
        <w:t>stávajícího vystrojení na PZP,</w:t>
      </w:r>
    </w:p>
    <w:p w:rsidR="00836E0E" w:rsidRPr="00836E0E" w:rsidRDefault="00F17903" w:rsidP="00836E0E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proofErr w:type="spellStart"/>
      <w:r w:rsidRPr="00691305">
        <w:rPr>
          <w:rFonts w:ascii="Arial" w:hAnsi="Arial"/>
          <w:sz w:val="22"/>
        </w:rPr>
        <w:t>obvrtání</w:t>
      </w:r>
      <w:proofErr w:type="spellEnd"/>
      <w:r w:rsidRPr="00691305">
        <w:rPr>
          <w:rFonts w:ascii="Arial" w:hAnsi="Arial"/>
          <w:sz w:val="22"/>
        </w:rPr>
        <w:t xml:space="preserve"> a vytažení stávající FK, její fotodokumentace, v případě že FK bude vykazovat známky porušení odebrat vzorek materiálu z</w:t>
      </w:r>
      <w:r w:rsidR="00691305" w:rsidRPr="00691305">
        <w:rPr>
          <w:rFonts w:ascii="Arial" w:hAnsi="Arial"/>
          <w:sz w:val="22"/>
        </w:rPr>
        <w:t> </w:t>
      </w:r>
      <w:r w:rsidRPr="00691305">
        <w:rPr>
          <w:rFonts w:ascii="Arial" w:hAnsi="Arial"/>
          <w:sz w:val="22"/>
        </w:rPr>
        <w:t>FK</w:t>
      </w:r>
      <w:r w:rsidR="00691305" w:rsidRPr="00691305">
        <w:rPr>
          <w:rFonts w:ascii="Arial" w:hAnsi="Arial"/>
          <w:sz w:val="22"/>
        </w:rPr>
        <w:t xml:space="preserve"> </w:t>
      </w:r>
      <w:r w:rsidR="00691305" w:rsidRPr="00691305">
        <w:rPr>
          <w:rFonts w:ascii="Arial" w:hAnsi="Arial" w:cs="Arial"/>
          <w:sz w:val="22"/>
          <w:szCs w:val="22"/>
        </w:rPr>
        <w:t>a odevzdat objednavatelovi,</w:t>
      </w:r>
      <w:r w:rsidR="003651A0" w:rsidRPr="00691305">
        <w:rPr>
          <w:rFonts w:ascii="Arial" w:hAnsi="Arial"/>
          <w:sz w:val="22"/>
        </w:rPr>
        <w:t xml:space="preserve"> </w:t>
      </w:r>
    </w:p>
    <w:p w:rsidR="008D25E5" w:rsidRPr="003651A0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sondy do cca 1 275,0 m, (dno pískové zátky pod patou FK), ověření dna, </w:t>
      </w:r>
    </w:p>
    <w:p w:rsidR="008D25E5" w:rsidRPr="003651A0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pažnic </w:t>
      </w:r>
      <w:proofErr w:type="spellStart"/>
      <w:r w:rsidRPr="003651A0">
        <w:rPr>
          <w:rFonts w:ascii="Arial" w:hAnsi="Arial"/>
          <w:sz w:val="22"/>
        </w:rPr>
        <w:t>TěK</w:t>
      </w:r>
      <w:proofErr w:type="spellEnd"/>
      <w:r w:rsidRPr="003651A0">
        <w:rPr>
          <w:rFonts w:ascii="Arial" w:hAnsi="Arial"/>
          <w:sz w:val="22"/>
        </w:rPr>
        <w:t xml:space="preserve"> </w:t>
      </w:r>
      <w:proofErr w:type="spellStart"/>
      <w:r w:rsidRPr="003651A0">
        <w:rPr>
          <w:rFonts w:ascii="Arial" w:hAnsi="Arial"/>
          <w:sz w:val="22"/>
        </w:rPr>
        <w:t>scraperem</w:t>
      </w:r>
      <w:proofErr w:type="spellEnd"/>
      <w:r w:rsidRPr="003651A0">
        <w:rPr>
          <w:rFonts w:ascii="Arial" w:hAnsi="Arial"/>
          <w:sz w:val="22"/>
        </w:rPr>
        <w:t xml:space="preserve"> + boční magnet + kartáč + gumová manžeta (před r</w:t>
      </w:r>
      <w:r w:rsidRPr="003651A0">
        <w:rPr>
          <w:rFonts w:ascii="Arial" w:hAnsi="Arial"/>
          <w:sz w:val="22"/>
        </w:rPr>
        <w:t>e</w:t>
      </w:r>
      <w:r w:rsidRPr="003651A0">
        <w:rPr>
          <w:rFonts w:ascii="Arial" w:hAnsi="Arial"/>
          <w:sz w:val="22"/>
        </w:rPr>
        <w:t>alizací EKM),</w:t>
      </w:r>
      <w:r>
        <w:rPr>
          <w:rFonts w:ascii="Arial" w:hAnsi="Arial"/>
          <w:sz w:val="22"/>
        </w:rPr>
        <w:t xml:space="preserve"> </w:t>
      </w:r>
    </w:p>
    <w:p w:rsidR="008D25E5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EKM</w:t>
      </w:r>
      <w:r>
        <w:rPr>
          <w:rFonts w:ascii="Arial" w:hAnsi="Arial"/>
          <w:sz w:val="22"/>
        </w:rPr>
        <w:t>:</w:t>
      </w:r>
    </w:p>
    <w:p w:rsidR="008D25E5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AC, </w:t>
      </w:r>
      <w:proofErr w:type="gramStart"/>
      <w:r w:rsidRPr="003651A0">
        <w:rPr>
          <w:rFonts w:ascii="Arial" w:hAnsi="Arial"/>
          <w:sz w:val="22"/>
        </w:rPr>
        <w:t xml:space="preserve">AT,– </w:t>
      </w:r>
      <w:r>
        <w:rPr>
          <w:rFonts w:ascii="Arial" w:hAnsi="Arial"/>
          <w:sz w:val="22"/>
        </w:rPr>
        <w:t xml:space="preserve"> </w:t>
      </w:r>
      <w:r w:rsidRPr="00691305">
        <w:rPr>
          <w:rFonts w:ascii="Arial" w:hAnsi="Arial"/>
          <w:sz w:val="22"/>
        </w:rPr>
        <w:t>v intervalu</w:t>
      </w:r>
      <w:proofErr w:type="gramEnd"/>
      <w:r w:rsidRPr="00691305">
        <w:rPr>
          <w:rFonts w:ascii="Arial" w:hAnsi="Arial"/>
          <w:sz w:val="22"/>
        </w:rPr>
        <w:t xml:space="preserve"> od</w:t>
      </w:r>
      <w:r>
        <w:rPr>
          <w:rFonts w:ascii="Arial" w:hAnsi="Arial"/>
          <w:sz w:val="22"/>
        </w:rPr>
        <w:t xml:space="preserve"> 0 m</w:t>
      </w:r>
      <w:r w:rsidRPr="00691305">
        <w:rPr>
          <w:rFonts w:ascii="Arial" w:hAnsi="Arial"/>
          <w:sz w:val="22"/>
        </w:rPr>
        <w:t xml:space="preserve"> – 1265 m</w:t>
      </w:r>
    </w:p>
    <w:p w:rsidR="008D25E5" w:rsidRPr="003651A0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FC</w:t>
      </w:r>
      <w:r w:rsidRPr="003651A0">
        <w:rPr>
          <w:rFonts w:ascii="Arial" w:hAnsi="Arial"/>
          <w:sz w:val="22"/>
        </w:rPr>
        <w:t xml:space="preserve"> – </w:t>
      </w:r>
      <w:r>
        <w:rPr>
          <w:rFonts w:ascii="Arial" w:hAnsi="Arial"/>
          <w:sz w:val="22"/>
        </w:rPr>
        <w:t>v intervalu od 1265 m – 1065 m</w:t>
      </w:r>
      <w:r w:rsidRPr="003651A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(cca </w:t>
      </w:r>
      <w:r w:rsidRPr="003651A0">
        <w:rPr>
          <w:rFonts w:ascii="Arial" w:hAnsi="Arial"/>
          <w:sz w:val="22"/>
        </w:rPr>
        <w:t>200 m směrem nahoru</w:t>
      </w:r>
      <w:r>
        <w:rPr>
          <w:rFonts w:ascii="Arial" w:hAnsi="Arial"/>
          <w:sz w:val="22"/>
        </w:rPr>
        <w:t>)</w:t>
      </w:r>
    </w:p>
    <w:p w:rsidR="008D25E5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DDN, GK, CCL – </w:t>
      </w:r>
      <w:r w:rsidRPr="00691305">
        <w:rPr>
          <w:rFonts w:ascii="Arial" w:hAnsi="Arial"/>
          <w:sz w:val="22"/>
        </w:rPr>
        <w:t>v intervalu od</w:t>
      </w:r>
      <w:r>
        <w:rPr>
          <w:rFonts w:ascii="Arial" w:hAnsi="Arial"/>
          <w:sz w:val="22"/>
        </w:rPr>
        <w:t xml:space="preserve"> 1275 m – 0 m (</w:t>
      </w:r>
      <w:r w:rsidRPr="003651A0">
        <w:rPr>
          <w:rFonts w:ascii="Arial" w:hAnsi="Arial"/>
          <w:sz w:val="22"/>
        </w:rPr>
        <w:t>celý profil</w:t>
      </w:r>
      <w:r>
        <w:rPr>
          <w:rFonts w:ascii="Arial" w:hAnsi="Arial"/>
          <w:sz w:val="22"/>
        </w:rPr>
        <w:t>)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vyhodnocení EKM pro určení intervalu frézovaní pažnic pro OH (za účasti </w:t>
      </w:r>
      <w:proofErr w:type="spellStart"/>
      <w:r>
        <w:rPr>
          <w:rFonts w:ascii="Arial" w:hAnsi="Arial"/>
          <w:sz w:val="22"/>
        </w:rPr>
        <w:t>interpretátora</w:t>
      </w:r>
      <w:proofErr w:type="spellEnd"/>
      <w:r>
        <w:rPr>
          <w:rFonts w:ascii="Arial" w:hAnsi="Arial"/>
          <w:sz w:val="22"/>
        </w:rPr>
        <w:t xml:space="preserve"> objednatele),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korelační měření pro navedení frézy (za účasti </w:t>
      </w:r>
      <w:proofErr w:type="spellStart"/>
      <w:r>
        <w:rPr>
          <w:rFonts w:ascii="Arial" w:hAnsi="Arial"/>
          <w:sz w:val="22"/>
        </w:rPr>
        <w:t>interpretátora</w:t>
      </w:r>
      <w:proofErr w:type="spellEnd"/>
      <w:r>
        <w:rPr>
          <w:rFonts w:ascii="Arial" w:hAnsi="Arial"/>
          <w:sz w:val="22"/>
        </w:rPr>
        <w:t xml:space="preserve"> objednavatele)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odfrézovaní pažnic </w:t>
      </w:r>
      <w:proofErr w:type="spellStart"/>
      <w:r>
        <w:rPr>
          <w:rFonts w:ascii="Arial" w:hAnsi="Arial"/>
          <w:sz w:val="22"/>
        </w:rPr>
        <w:t>Těk</w:t>
      </w:r>
      <w:proofErr w:type="spellEnd"/>
      <w:r>
        <w:rPr>
          <w:rFonts w:ascii="Arial" w:hAnsi="Arial"/>
          <w:sz w:val="22"/>
        </w:rPr>
        <w:t xml:space="preserve"> dle vyhodnocení cca 1269,0 – 1272,5m,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sondy </w:t>
      </w:r>
      <w:r>
        <w:rPr>
          <w:rFonts w:ascii="Arial" w:hAnsi="Arial"/>
          <w:sz w:val="22"/>
        </w:rPr>
        <w:t xml:space="preserve">před rozšiřováním </w:t>
      </w:r>
      <w:r w:rsidRPr="003651A0">
        <w:rPr>
          <w:rFonts w:ascii="Arial" w:hAnsi="Arial"/>
          <w:sz w:val="22"/>
        </w:rPr>
        <w:t>do cca 1 275,0 m</w:t>
      </w:r>
      <w:r>
        <w:rPr>
          <w:rFonts w:ascii="Arial" w:hAnsi="Arial"/>
          <w:sz w:val="22"/>
        </w:rPr>
        <w:t xml:space="preserve">, </w:t>
      </w:r>
    </w:p>
    <w:p w:rsidR="008D25E5" w:rsidRP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rozšíření odfrézovaného intervalu na min. </w:t>
      </w:r>
      <w:r>
        <w:rPr>
          <w:rFonts w:ascii="Arial" w:hAnsi="Arial" w:cs="Arial"/>
          <w:sz w:val="22"/>
        </w:rPr>
        <w:t>Ø 280 mm,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opakované </w:t>
      </w:r>
      <w:r w:rsidR="00472CEA">
        <w:rPr>
          <w:rFonts w:ascii="Arial" w:hAnsi="Arial" w:cs="Arial"/>
          <w:sz w:val="22"/>
        </w:rPr>
        <w:t xml:space="preserve">pročištění </w:t>
      </w:r>
      <w:r>
        <w:rPr>
          <w:rFonts w:ascii="Arial" w:hAnsi="Arial" w:cs="Arial"/>
          <w:sz w:val="22"/>
        </w:rPr>
        <w:t xml:space="preserve">sondy po rozšíření do </w:t>
      </w:r>
      <w:r w:rsidRPr="003651A0">
        <w:rPr>
          <w:rFonts w:ascii="Arial" w:hAnsi="Arial"/>
          <w:sz w:val="22"/>
        </w:rPr>
        <w:t>cca 1 275,0 m</w:t>
      </w:r>
      <w:r>
        <w:rPr>
          <w:rFonts w:ascii="Arial" w:hAnsi="Arial"/>
          <w:sz w:val="22"/>
        </w:rPr>
        <w:t>,</w:t>
      </w:r>
    </w:p>
    <w:p w:rsidR="00472CEA" w:rsidRDefault="00472CEA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provedení EKM pro kontrolu rozšíření, </w:t>
      </w:r>
    </w:p>
    <w:p w:rsidR="00472CEA" w:rsidRDefault="00472CEA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zapouštění zaslepeného </w:t>
      </w:r>
      <w:proofErr w:type="spellStart"/>
      <w:r>
        <w:rPr>
          <w:rFonts w:ascii="Arial" w:hAnsi="Arial"/>
          <w:sz w:val="22"/>
        </w:rPr>
        <w:t>pakru</w:t>
      </w:r>
      <w:proofErr w:type="spellEnd"/>
      <w:r>
        <w:rPr>
          <w:rFonts w:ascii="Arial" w:hAnsi="Arial"/>
          <w:sz w:val="22"/>
        </w:rPr>
        <w:t>, včetně potřebných TZ,</w:t>
      </w:r>
    </w:p>
    <w:p w:rsidR="00472CEA" w:rsidRPr="003651A0" w:rsidRDefault="00472CEA" w:rsidP="00472CEA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montáž nové spodní části PK, orientace dle stávající nadzemní technologie, aktivace a tlaková zkouška, </w:t>
      </w:r>
    </w:p>
    <w:p w:rsidR="0057109D" w:rsidRPr="00691305" w:rsidRDefault="0069130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v</w:t>
      </w:r>
      <w:r w:rsidR="0057109D" w:rsidRPr="00691305">
        <w:rPr>
          <w:rFonts w:ascii="Arial" w:hAnsi="Arial"/>
          <w:sz w:val="22"/>
        </w:rPr>
        <w:t xml:space="preserve">yvést </w:t>
      </w:r>
      <w:r w:rsidR="00F17903" w:rsidRPr="00691305">
        <w:rPr>
          <w:rFonts w:ascii="Arial" w:hAnsi="Arial"/>
          <w:sz w:val="22"/>
        </w:rPr>
        <w:t>vývod z </w:t>
      </w:r>
      <w:proofErr w:type="spellStart"/>
      <w:r w:rsidR="00F17903" w:rsidRPr="00691305">
        <w:rPr>
          <w:rFonts w:ascii="Arial" w:hAnsi="Arial"/>
          <w:sz w:val="22"/>
        </w:rPr>
        <w:t>TěK</w:t>
      </w:r>
      <w:proofErr w:type="spellEnd"/>
      <w:r w:rsidR="00F17903" w:rsidRPr="00691305">
        <w:rPr>
          <w:rFonts w:ascii="Arial" w:hAnsi="Arial"/>
          <w:sz w:val="22"/>
        </w:rPr>
        <w:t>, TK i ÚK nad rošt s jehlovým ventilem</w:t>
      </w:r>
      <w:r>
        <w:rPr>
          <w:rFonts w:ascii="Arial" w:hAnsi="Arial"/>
          <w:sz w:val="22"/>
        </w:rPr>
        <w:t>,</w:t>
      </w:r>
      <w:r w:rsidR="00F17903" w:rsidRPr="00691305">
        <w:rPr>
          <w:rFonts w:ascii="Arial" w:hAnsi="Arial"/>
          <w:sz w:val="22"/>
        </w:rPr>
        <w:t xml:space="preserve"> </w:t>
      </w:r>
    </w:p>
    <w:p w:rsidR="00F17903" w:rsidRPr="0057109D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57109D">
        <w:rPr>
          <w:rFonts w:ascii="Arial" w:hAnsi="Arial"/>
          <w:sz w:val="22"/>
        </w:rPr>
        <w:t>odvoz stávajícího PK na úpravu pro PPBV včetně re-pase a po ní dovoz zpět do areálu PZP (včetně spodní části)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pažnic </w:t>
      </w:r>
      <w:proofErr w:type="spellStart"/>
      <w:r w:rsidRPr="003651A0">
        <w:rPr>
          <w:rFonts w:ascii="Arial" w:hAnsi="Arial"/>
          <w:sz w:val="22"/>
        </w:rPr>
        <w:t>TěK</w:t>
      </w:r>
      <w:proofErr w:type="spellEnd"/>
      <w:r w:rsidRPr="003651A0">
        <w:rPr>
          <w:rFonts w:ascii="Arial" w:hAnsi="Arial"/>
          <w:sz w:val="22"/>
        </w:rPr>
        <w:t xml:space="preserve"> </w:t>
      </w:r>
      <w:proofErr w:type="spellStart"/>
      <w:r w:rsidRPr="003651A0">
        <w:rPr>
          <w:rFonts w:ascii="Arial" w:hAnsi="Arial"/>
          <w:sz w:val="22"/>
        </w:rPr>
        <w:t>scraperem</w:t>
      </w:r>
      <w:proofErr w:type="spellEnd"/>
      <w:r w:rsidRPr="003651A0">
        <w:rPr>
          <w:rFonts w:ascii="Arial" w:hAnsi="Arial"/>
          <w:sz w:val="22"/>
        </w:rPr>
        <w:t xml:space="preserve"> + boční mag</w:t>
      </w:r>
      <w:r w:rsidR="00472CEA">
        <w:rPr>
          <w:rFonts w:ascii="Arial" w:hAnsi="Arial"/>
          <w:sz w:val="22"/>
        </w:rPr>
        <w:t xml:space="preserve">net + kartáč + gumová manžeta </w:t>
      </w:r>
      <w:r w:rsidRPr="003651A0">
        <w:rPr>
          <w:rFonts w:ascii="Arial" w:hAnsi="Arial"/>
          <w:sz w:val="22"/>
        </w:rPr>
        <w:t>(před r</w:t>
      </w:r>
      <w:r w:rsidRPr="003651A0">
        <w:rPr>
          <w:rFonts w:ascii="Arial" w:hAnsi="Arial"/>
          <w:sz w:val="22"/>
        </w:rPr>
        <w:t>e</w:t>
      </w:r>
      <w:r w:rsidRPr="003651A0">
        <w:rPr>
          <w:rFonts w:ascii="Arial" w:hAnsi="Arial"/>
          <w:sz w:val="22"/>
        </w:rPr>
        <w:t>alizací instalací FK),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lastRenderedPageBreak/>
        <w:t>opakované ověření dna před instalací FK případná úprava konečné hloubky,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výměna pracovní kapaliny za naplavovací kapalinu, při výměně bude použita oddělov</w:t>
      </w:r>
      <w:r w:rsidRPr="003651A0">
        <w:rPr>
          <w:rFonts w:ascii="Arial" w:hAnsi="Arial"/>
          <w:sz w:val="22"/>
        </w:rPr>
        <w:t>a</w:t>
      </w:r>
      <w:r w:rsidRPr="003651A0">
        <w:rPr>
          <w:rFonts w:ascii="Arial" w:hAnsi="Arial"/>
          <w:sz w:val="22"/>
        </w:rPr>
        <w:t xml:space="preserve">cí vysoce </w:t>
      </w:r>
      <w:r w:rsidR="00AA4472" w:rsidRPr="003651A0">
        <w:rPr>
          <w:rFonts w:ascii="Arial" w:hAnsi="Arial"/>
          <w:sz w:val="22"/>
        </w:rPr>
        <w:t>viskózní</w:t>
      </w:r>
      <w:r w:rsidRPr="003651A0">
        <w:rPr>
          <w:rFonts w:ascii="Arial" w:hAnsi="Arial"/>
          <w:sz w:val="22"/>
        </w:rPr>
        <w:t xml:space="preserve"> zátka, čistota naplavovací kapaliny bude z</w:t>
      </w:r>
      <w:r w:rsidR="00C80E4B" w:rsidRPr="003651A0">
        <w:rPr>
          <w:rFonts w:ascii="Arial" w:hAnsi="Arial"/>
          <w:sz w:val="22"/>
        </w:rPr>
        <w:t>jiš</w:t>
      </w:r>
      <w:r w:rsidRPr="003651A0">
        <w:rPr>
          <w:rFonts w:ascii="Arial" w:hAnsi="Arial"/>
          <w:sz w:val="22"/>
        </w:rPr>
        <w:t>ťována pomocí speci</w:t>
      </w:r>
      <w:r w:rsidR="00C80E4B" w:rsidRPr="003651A0">
        <w:rPr>
          <w:rFonts w:ascii="Arial" w:hAnsi="Arial"/>
          <w:sz w:val="22"/>
        </w:rPr>
        <w:t>á</w:t>
      </w:r>
      <w:r w:rsidRPr="003651A0">
        <w:rPr>
          <w:rFonts w:ascii="Arial" w:hAnsi="Arial"/>
          <w:sz w:val="22"/>
        </w:rPr>
        <w:t>l</w:t>
      </w:r>
      <w:r w:rsidRPr="003651A0">
        <w:rPr>
          <w:rFonts w:ascii="Arial" w:hAnsi="Arial"/>
          <w:sz w:val="22"/>
        </w:rPr>
        <w:t xml:space="preserve">ního přístroje, při výměně budou průběžně odebírány vzorky kapaliny vstupující do a vystupující ze sondy v intervalech odsouhlasených TDO, při výměně bude užita </w:t>
      </w:r>
      <w:r w:rsidR="00AA4472" w:rsidRPr="003651A0">
        <w:rPr>
          <w:rFonts w:ascii="Arial" w:hAnsi="Arial"/>
          <w:sz w:val="22"/>
        </w:rPr>
        <w:t>kont</w:t>
      </w:r>
      <w:r w:rsidR="00AA4472" w:rsidRPr="003651A0">
        <w:rPr>
          <w:rFonts w:ascii="Arial" w:hAnsi="Arial"/>
          <w:sz w:val="22"/>
        </w:rPr>
        <w:t>i</w:t>
      </w:r>
      <w:r w:rsidR="00AA4472" w:rsidRPr="003651A0">
        <w:rPr>
          <w:rFonts w:ascii="Arial" w:hAnsi="Arial"/>
          <w:sz w:val="22"/>
        </w:rPr>
        <w:t>nuální</w:t>
      </w:r>
      <w:r w:rsidRPr="003651A0">
        <w:rPr>
          <w:rFonts w:ascii="Arial" w:hAnsi="Arial"/>
          <w:sz w:val="22"/>
        </w:rPr>
        <w:t xml:space="preserve"> filtrace kapalin nebo takový objem kapalin, aby čistota kapaliny vystupující ze sondy v závěru výměny dosáhla cca 20 jednotek NTU, </w:t>
      </w:r>
    </w:p>
    <w:p w:rsidR="00F17903" w:rsidRPr="004C7BE2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4C7BE2">
        <w:rPr>
          <w:rFonts w:ascii="Arial" w:hAnsi="Arial"/>
          <w:sz w:val="22"/>
        </w:rPr>
        <w:t xml:space="preserve">instalace FK </w:t>
      </w:r>
      <w:r w:rsidR="00F17903" w:rsidRPr="004C7BE2">
        <w:rPr>
          <w:rFonts w:ascii="Arial" w:hAnsi="Arial"/>
          <w:sz w:val="22"/>
        </w:rPr>
        <w:t xml:space="preserve"> 2 </w:t>
      </w:r>
      <w:r w:rsidR="00C80E4B" w:rsidRPr="004C7BE2">
        <w:rPr>
          <w:rFonts w:ascii="Arial" w:hAnsi="Arial"/>
          <w:sz w:val="22"/>
        </w:rPr>
        <w:t>7</w:t>
      </w:r>
      <w:r w:rsidR="00F17903" w:rsidRPr="004C7BE2">
        <w:rPr>
          <w:rFonts w:ascii="Arial" w:hAnsi="Arial"/>
          <w:sz w:val="22"/>
        </w:rPr>
        <w:t>/8“ v obdobné konfiguraci jako stávající FK – slot 0,25 mm</w:t>
      </w:r>
      <w:r w:rsidR="00C80E4B" w:rsidRPr="004C7BE2">
        <w:rPr>
          <w:rFonts w:ascii="Arial" w:hAnsi="Arial"/>
          <w:sz w:val="22"/>
        </w:rPr>
        <w:t>, ob</w:t>
      </w:r>
      <w:r w:rsidR="004C7BE2" w:rsidRPr="004C7BE2">
        <w:rPr>
          <w:rFonts w:ascii="Arial" w:hAnsi="Arial"/>
          <w:sz w:val="22"/>
        </w:rPr>
        <w:t xml:space="preserve">syp 0,5 – 1,0 </w:t>
      </w:r>
      <w:proofErr w:type="gramStart"/>
      <w:r w:rsidR="004C7BE2" w:rsidRPr="004C7BE2">
        <w:rPr>
          <w:rFonts w:ascii="Arial" w:hAnsi="Arial"/>
          <w:sz w:val="22"/>
        </w:rPr>
        <w:t xml:space="preserve">mm . </w:t>
      </w:r>
      <w:r w:rsidRPr="004C7BE2">
        <w:rPr>
          <w:rFonts w:ascii="Arial" w:hAnsi="Arial"/>
          <w:sz w:val="22"/>
        </w:rPr>
        <w:t>FK</w:t>
      </w:r>
      <w:proofErr w:type="gramEnd"/>
      <w:r w:rsidRPr="004C7BE2">
        <w:rPr>
          <w:rFonts w:ascii="Arial" w:hAnsi="Arial"/>
          <w:sz w:val="22"/>
        </w:rPr>
        <w:t xml:space="preserve"> musí byt odsouhlasená TDO,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usazení </w:t>
      </w:r>
      <w:proofErr w:type="spellStart"/>
      <w:r w:rsidRPr="003651A0">
        <w:rPr>
          <w:rFonts w:ascii="Arial" w:hAnsi="Arial"/>
          <w:sz w:val="22"/>
        </w:rPr>
        <w:t>pakru</w:t>
      </w:r>
      <w:proofErr w:type="spellEnd"/>
      <w:r w:rsidRPr="003651A0">
        <w:rPr>
          <w:rFonts w:ascii="Arial" w:hAnsi="Arial"/>
          <w:sz w:val="22"/>
        </w:rPr>
        <w:t xml:space="preserve"> včetně jeho TZ na VT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naplavení pískového obsypu – zrnitost </w:t>
      </w:r>
      <w:r w:rsidR="00C80E4B" w:rsidRPr="003651A0">
        <w:rPr>
          <w:rFonts w:ascii="Arial" w:hAnsi="Arial"/>
          <w:sz w:val="22"/>
        </w:rPr>
        <w:t>viz výše</w:t>
      </w:r>
      <w:r w:rsidRPr="003651A0">
        <w:rPr>
          <w:rFonts w:ascii="Arial" w:hAnsi="Arial"/>
          <w:sz w:val="22"/>
        </w:rPr>
        <w:t>.</w:t>
      </w:r>
      <w:r w:rsidR="003B025C">
        <w:rPr>
          <w:rFonts w:ascii="Arial" w:hAnsi="Arial"/>
          <w:sz w:val="22"/>
        </w:rPr>
        <w:t xml:space="preserve"> </w:t>
      </w:r>
    </w:p>
    <w:p w:rsidR="00F17903" w:rsidRPr="003651A0" w:rsidRDefault="003B025C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F17903" w:rsidRPr="003651A0">
        <w:rPr>
          <w:rFonts w:ascii="Arial" w:hAnsi="Arial"/>
          <w:sz w:val="22"/>
        </w:rPr>
        <w:t>áznam včetně vyhodnocení průběhu naplavování musí být k dispozici ke kontrole v průběhu celé operace. Z instalace FK a obsypu musí být dodána samostatná dílčí zpr</w:t>
      </w:r>
      <w:r w:rsidR="00F17903" w:rsidRPr="003651A0">
        <w:rPr>
          <w:rFonts w:ascii="Arial" w:hAnsi="Arial"/>
          <w:sz w:val="22"/>
        </w:rPr>
        <w:t>á</w:t>
      </w:r>
      <w:r w:rsidR="00F17903" w:rsidRPr="003651A0">
        <w:rPr>
          <w:rFonts w:ascii="Arial" w:hAnsi="Arial"/>
          <w:sz w:val="22"/>
        </w:rPr>
        <w:t>va, která bude zařazena do konečné závěrečné zprávy z POS. Součástí této zprávy bude i vyhodnocení čistoty kapalin při výměně a naplavení obsypu</w:t>
      </w:r>
      <w:r w:rsidR="004C7BE2">
        <w:rPr>
          <w:rFonts w:ascii="Arial" w:hAnsi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EK</w:t>
      </w:r>
      <w:r w:rsidR="003B025C">
        <w:rPr>
          <w:rFonts w:ascii="Arial" w:hAnsi="Arial"/>
          <w:sz w:val="22"/>
        </w:rPr>
        <w:t xml:space="preserve">M: </w:t>
      </w:r>
      <w:r w:rsidRPr="003651A0">
        <w:rPr>
          <w:rFonts w:ascii="Arial" w:hAnsi="Arial"/>
          <w:sz w:val="22"/>
        </w:rPr>
        <w:t xml:space="preserve"> </w:t>
      </w:r>
      <w:r w:rsidR="003B025C" w:rsidRPr="003651A0">
        <w:rPr>
          <w:rFonts w:ascii="Arial" w:hAnsi="Arial"/>
          <w:sz w:val="22"/>
        </w:rPr>
        <w:t xml:space="preserve">GGK-H, CCL </w:t>
      </w:r>
      <w:r w:rsidRPr="003651A0">
        <w:rPr>
          <w:rFonts w:ascii="Arial" w:hAnsi="Arial"/>
          <w:sz w:val="22"/>
        </w:rPr>
        <w:t>měření pro kontrolu naplavení filtru, vyhodnocení kvality pískového obsypu, vyhodnocení na vrtu</w:t>
      </w:r>
      <w:r w:rsidR="003B025C">
        <w:rPr>
          <w:rFonts w:ascii="Arial" w:hAnsi="Arial"/>
          <w:sz w:val="22"/>
        </w:rPr>
        <w:t xml:space="preserve"> za </w:t>
      </w:r>
      <w:r w:rsidR="003B025C" w:rsidRPr="004C7BE2">
        <w:rPr>
          <w:rFonts w:ascii="Arial" w:hAnsi="Arial"/>
          <w:sz w:val="22"/>
        </w:rPr>
        <w:t xml:space="preserve">přítomnosti </w:t>
      </w:r>
      <w:proofErr w:type="spellStart"/>
      <w:r w:rsidR="003B025C" w:rsidRPr="004C7BE2">
        <w:rPr>
          <w:rFonts w:ascii="Arial" w:hAnsi="Arial"/>
          <w:sz w:val="22"/>
        </w:rPr>
        <w:t>interpretatora</w:t>
      </w:r>
      <w:proofErr w:type="spellEnd"/>
      <w:r w:rsidRPr="003651A0">
        <w:rPr>
          <w:rFonts w:ascii="Arial" w:hAnsi="Arial"/>
          <w:sz w:val="22"/>
        </w:rPr>
        <w:t xml:space="preserve"> ( kartogram a zápis do vrtn</w:t>
      </w:r>
      <w:r w:rsidRPr="003651A0">
        <w:rPr>
          <w:rFonts w:ascii="Arial" w:hAnsi="Arial"/>
          <w:sz w:val="22"/>
        </w:rPr>
        <w:t>é</w:t>
      </w:r>
      <w:r w:rsidRPr="003651A0">
        <w:rPr>
          <w:rFonts w:ascii="Arial" w:hAnsi="Arial"/>
          <w:sz w:val="22"/>
        </w:rPr>
        <w:t xml:space="preserve">ho </w:t>
      </w:r>
      <w:proofErr w:type="gramStart"/>
      <w:r w:rsidRPr="003651A0">
        <w:rPr>
          <w:rFonts w:ascii="Arial" w:hAnsi="Arial"/>
          <w:sz w:val="22"/>
        </w:rPr>
        <w:t>deníku ),</w:t>
      </w:r>
      <w:proofErr w:type="gramEnd"/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propaření stupaček (WAP) a kontrola vnitřní kalibrací na povrchu,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vystrojení sondy novou sestavou (naváděcí objímka, usazovací vsuvka, </w:t>
      </w:r>
      <w:proofErr w:type="spellStart"/>
      <w:proofErr w:type="gramStart"/>
      <w:r w:rsidRPr="003651A0">
        <w:rPr>
          <w:rFonts w:ascii="Arial" w:hAnsi="Arial"/>
          <w:sz w:val="22"/>
        </w:rPr>
        <w:t>pakr</w:t>
      </w:r>
      <w:proofErr w:type="spellEnd"/>
      <w:r w:rsidRPr="003651A0">
        <w:rPr>
          <w:rFonts w:ascii="Arial" w:hAnsi="Arial"/>
          <w:sz w:val="22"/>
        </w:rPr>
        <w:t>,  stupačky</w:t>
      </w:r>
      <w:proofErr w:type="gramEnd"/>
      <w:r w:rsidRPr="003651A0">
        <w:rPr>
          <w:rFonts w:ascii="Arial" w:hAnsi="Arial"/>
          <w:sz w:val="22"/>
        </w:rPr>
        <w:t xml:space="preserve"> vše s plynotěsným závitem VAGT, </w:t>
      </w:r>
      <w:proofErr w:type="spellStart"/>
      <w:r w:rsidRPr="003651A0">
        <w:rPr>
          <w:rFonts w:ascii="Arial" w:hAnsi="Arial"/>
          <w:sz w:val="22"/>
        </w:rPr>
        <w:t>pakrovací</w:t>
      </w:r>
      <w:proofErr w:type="spellEnd"/>
      <w:r w:rsidRPr="003651A0">
        <w:rPr>
          <w:rFonts w:ascii="Arial" w:hAnsi="Arial"/>
          <w:sz w:val="22"/>
        </w:rPr>
        <w:t xml:space="preserve"> sestavu v případě jiných závitů nutno lepit speciálním lepidlem, závěs stupaček rovněž VAGT závit; pokud to umožní typ </w:t>
      </w:r>
      <w:proofErr w:type="spellStart"/>
      <w:r w:rsidRPr="003651A0">
        <w:rPr>
          <w:rFonts w:ascii="Arial" w:hAnsi="Arial"/>
          <w:sz w:val="22"/>
        </w:rPr>
        <w:t>pakru</w:t>
      </w:r>
      <w:proofErr w:type="spellEnd"/>
      <w:r w:rsidRPr="003651A0">
        <w:rPr>
          <w:rFonts w:ascii="Arial" w:hAnsi="Arial"/>
          <w:sz w:val="22"/>
        </w:rPr>
        <w:t xml:space="preserve"> provést před instalací tlakové zkoušky v dílenských </w:t>
      </w:r>
      <w:proofErr w:type="gramStart"/>
      <w:r w:rsidRPr="003651A0">
        <w:rPr>
          <w:rFonts w:ascii="Arial" w:hAnsi="Arial"/>
          <w:sz w:val="22"/>
        </w:rPr>
        <w:t>podmínkách  (Protokoly</w:t>
      </w:r>
      <w:proofErr w:type="gramEnd"/>
      <w:r w:rsidRPr="003651A0">
        <w:rPr>
          <w:rFonts w:ascii="Arial" w:hAnsi="Arial"/>
          <w:sz w:val="22"/>
        </w:rPr>
        <w:t xml:space="preserve"> od sestavy a tlakové zkoušce musí být před instalací k dispozici na sondě). 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všechny závitové spoje dotahovat s registrací předepsaného </w:t>
      </w:r>
      <w:proofErr w:type="gramStart"/>
      <w:r w:rsidRPr="003651A0">
        <w:rPr>
          <w:rFonts w:ascii="Arial" w:hAnsi="Arial"/>
          <w:sz w:val="22"/>
        </w:rPr>
        <w:t>kroutícího</w:t>
      </w:r>
      <w:proofErr w:type="gramEnd"/>
      <w:r w:rsidRPr="003651A0">
        <w:rPr>
          <w:rFonts w:ascii="Arial" w:hAnsi="Arial"/>
          <w:sz w:val="22"/>
        </w:rPr>
        <w:t xml:space="preserve"> mome</w:t>
      </w:r>
      <w:r w:rsidRPr="003651A0">
        <w:rPr>
          <w:rFonts w:ascii="Arial" w:hAnsi="Arial"/>
          <w:sz w:val="22"/>
        </w:rPr>
        <w:t>n</w:t>
      </w:r>
      <w:r w:rsidRPr="003651A0">
        <w:rPr>
          <w:rFonts w:ascii="Arial" w:hAnsi="Arial"/>
          <w:sz w:val="22"/>
        </w:rPr>
        <w:t>tu, soupis výstroje, typ, délka jednotlivých prvků, celková délka zapuštění, vnitřní i vně</w:t>
      </w:r>
      <w:r w:rsidRPr="003651A0">
        <w:rPr>
          <w:rFonts w:ascii="Arial" w:hAnsi="Arial"/>
          <w:sz w:val="22"/>
        </w:rPr>
        <w:t>j</w:t>
      </w:r>
      <w:r w:rsidRPr="003651A0">
        <w:rPr>
          <w:rFonts w:ascii="Arial" w:hAnsi="Arial"/>
          <w:sz w:val="22"/>
        </w:rPr>
        <w:t>ší průměry, výrobní čísla – vše bude zaznamenáno a uvedeno v závěrečné zprávě z POS,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zapuštění sestavy stupaček, a podpovrchového bezpečnostního ventilu – 3 1/2“ (bude předán),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výměna pracovní kapaliny za </w:t>
      </w:r>
      <w:proofErr w:type="spellStart"/>
      <w:r w:rsidRPr="003651A0">
        <w:rPr>
          <w:rFonts w:ascii="Arial" w:hAnsi="Arial"/>
          <w:sz w:val="22"/>
        </w:rPr>
        <w:t>pakrovací</w:t>
      </w:r>
      <w:proofErr w:type="spellEnd"/>
      <w:r w:rsidRPr="003651A0">
        <w:rPr>
          <w:rFonts w:ascii="Arial" w:hAnsi="Arial"/>
          <w:sz w:val="22"/>
        </w:rPr>
        <w:t>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W-L servis na aplikaci zátek do vsuvek, </w:t>
      </w:r>
    </w:p>
    <w:p w:rsidR="00F17903" w:rsidRPr="003651A0" w:rsidRDefault="00D14901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opakovaná TZ </w:t>
      </w:r>
      <w:proofErr w:type="spellStart"/>
      <w:r w:rsidRPr="003651A0">
        <w:rPr>
          <w:rFonts w:ascii="Arial" w:hAnsi="Arial"/>
          <w:sz w:val="22"/>
        </w:rPr>
        <w:t>pakru</w:t>
      </w:r>
      <w:proofErr w:type="spellEnd"/>
      <w:r w:rsidRPr="003651A0">
        <w:rPr>
          <w:rFonts w:ascii="Arial" w:hAnsi="Arial"/>
          <w:sz w:val="22"/>
        </w:rPr>
        <w:t xml:space="preserve">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</w:t>
      </w:r>
      <w:r w:rsidR="00F17903" w:rsidRPr="003651A0">
        <w:rPr>
          <w:rFonts w:ascii="Arial" w:hAnsi="Arial"/>
          <w:sz w:val="22"/>
        </w:rPr>
        <w:t>tlaková zkouška her</w:t>
      </w:r>
      <w:r>
        <w:rPr>
          <w:rFonts w:ascii="Arial" w:hAnsi="Arial"/>
          <w:sz w:val="22"/>
        </w:rPr>
        <w:t>metičnosti stupaček</w:t>
      </w:r>
      <w:r w:rsidR="00DD35A3"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</w:t>
      </w:r>
      <w:proofErr w:type="spellStart"/>
      <w:r>
        <w:rPr>
          <w:rFonts w:ascii="Arial" w:hAnsi="Arial"/>
          <w:sz w:val="22"/>
        </w:rPr>
        <w:t>inflow</w:t>
      </w:r>
      <w:proofErr w:type="spellEnd"/>
      <w:r>
        <w:rPr>
          <w:rFonts w:ascii="Arial" w:hAnsi="Arial"/>
          <w:sz w:val="22"/>
        </w:rPr>
        <w:t xml:space="preserve"> testu PPBV za účasti servisního technika fy. </w:t>
      </w:r>
      <w:proofErr w:type="spellStart"/>
      <w:r>
        <w:rPr>
          <w:rFonts w:ascii="Arial" w:hAnsi="Arial"/>
          <w:sz w:val="22"/>
        </w:rPr>
        <w:t>Weatherford</w:t>
      </w:r>
      <w:proofErr w:type="spellEnd"/>
      <w:r>
        <w:rPr>
          <w:rFonts w:ascii="Arial" w:hAnsi="Arial"/>
          <w:sz w:val="22"/>
        </w:rPr>
        <w:t xml:space="preserve">, před </w:t>
      </w:r>
      <w:r w:rsidR="00F17903"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="00F17903"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="00F17903" w:rsidRPr="003651A0">
        <w:rPr>
          <w:rFonts w:ascii="Arial" w:hAnsi="Arial"/>
          <w:sz w:val="22"/>
        </w:rPr>
        <w:t xml:space="preserve"> </w:t>
      </w:r>
      <w:r w:rsidR="00DD35A3" w:rsidRPr="003651A0">
        <w:rPr>
          <w:rFonts w:ascii="Arial" w:hAnsi="Arial"/>
          <w:sz w:val="22"/>
        </w:rPr>
        <w:t xml:space="preserve">(včetně povrchového bezpečnostního ventilu) </w:t>
      </w:r>
      <w:r w:rsidR="00F17903" w:rsidRPr="003651A0">
        <w:rPr>
          <w:rFonts w:ascii="Arial" w:hAnsi="Arial"/>
          <w:sz w:val="22"/>
        </w:rPr>
        <w:t xml:space="preserve">a tlaková zkouška. Tlakové zkoušky dle </w:t>
      </w:r>
      <w:proofErr w:type="spellStart"/>
      <w:r w:rsidR="00F17903" w:rsidRPr="003651A0">
        <w:rPr>
          <w:rFonts w:ascii="Arial" w:hAnsi="Arial"/>
          <w:sz w:val="22"/>
        </w:rPr>
        <w:t>vyhl</w:t>
      </w:r>
      <w:proofErr w:type="spellEnd"/>
      <w:r w:rsidR="00F17903" w:rsidRPr="003651A0">
        <w:rPr>
          <w:rFonts w:ascii="Arial" w:hAnsi="Arial"/>
          <w:sz w:val="22"/>
        </w:rPr>
        <w:t>. ČBÚ č. 239/1998 Sb.</w:t>
      </w:r>
      <w:r w:rsidR="00DD35A3" w:rsidRPr="003651A0">
        <w:rPr>
          <w:rFonts w:ascii="Arial" w:hAnsi="Arial"/>
          <w:sz w:val="22"/>
        </w:rPr>
        <w:t>, v platném znění., s grafickým i písemným záznamem.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oživení sondy - až do těžby suchého plynu – při oživování sondy nutno přesně evidovat tlaky na ústí sondy, těžená množství kapaliny, užité průměry trysek či clon, nutno mít </w:t>
      </w:r>
      <w:r w:rsidRPr="003651A0">
        <w:rPr>
          <w:rFonts w:ascii="Arial" w:hAnsi="Arial"/>
          <w:sz w:val="22"/>
        </w:rPr>
        <w:lastRenderedPageBreak/>
        <w:t xml:space="preserve">přesnou evidenci případných ztrát v průběhu POS a přesnou kalkulaci objemu sondy, 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provedení kontroly průchodnosti sondy před i po oživení (pomocí </w:t>
      </w:r>
      <w:proofErr w:type="spellStart"/>
      <w:r w:rsidRPr="003651A0">
        <w:rPr>
          <w:rFonts w:ascii="Arial" w:hAnsi="Arial"/>
          <w:sz w:val="22"/>
        </w:rPr>
        <w:t>wire</w:t>
      </w:r>
      <w:proofErr w:type="spellEnd"/>
      <w:r w:rsidRPr="003651A0">
        <w:rPr>
          <w:rFonts w:ascii="Arial" w:hAnsi="Arial"/>
          <w:sz w:val="22"/>
        </w:rPr>
        <w:t>-line),</w:t>
      </w:r>
    </w:p>
    <w:p w:rsidR="00F17903" w:rsidRDefault="00F17903" w:rsidP="00F17903">
      <w:pPr>
        <w:rPr>
          <w:rFonts w:ascii="Arial" w:hAnsi="Arial" w:cs="Arial"/>
          <w:color w:val="365F91"/>
          <w:sz w:val="22"/>
          <w:szCs w:val="22"/>
        </w:rPr>
      </w:pPr>
    </w:p>
    <w:p w:rsidR="00F17903" w:rsidRPr="007025E9" w:rsidRDefault="00F17903" w:rsidP="00F17903">
      <w:pPr>
        <w:pStyle w:val="Zkladntextodsazen3"/>
        <w:spacing w:after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</w:t>
      </w:r>
      <w:proofErr w:type="gramStart"/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>stěn !!!</w:t>
      </w:r>
      <w:proofErr w:type="gramEnd"/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C6E99" w:rsidRDefault="00FC6E99" w:rsidP="003B025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3B025C" w:rsidRDefault="003B025C" w:rsidP="003B025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15.9.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3B025C" w:rsidRPr="00383B60" w:rsidRDefault="003B025C" w:rsidP="003B025C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4C7BE2" w:rsidRPr="00AA4472" w:rsidRDefault="004C7BE2" w:rsidP="004C7BE2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="00AA4472">
        <w:rPr>
          <w:rFonts w:ascii="Arial" w:hAnsi="Arial" w:cs="Arial"/>
          <w:sz w:val="22"/>
          <w:szCs w:val="22"/>
        </w:rPr>
        <w:t xml:space="preserve"> </w:t>
      </w:r>
      <w:r w:rsidR="00AA4472" w:rsidRPr="00AA4472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4C7BE2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4C7BE2" w:rsidRPr="001567E4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PBV 3 1/8“ - 21MPa</w:t>
      </w:r>
      <w:r w:rsidR="00AA4472">
        <w:rPr>
          <w:rFonts w:ascii="Arial" w:hAnsi="Arial" w:cs="Arial"/>
          <w:sz w:val="22"/>
          <w:szCs w:val="22"/>
        </w:rPr>
        <w:t xml:space="preserve">, </w:t>
      </w:r>
      <w:r w:rsidR="00AA4472" w:rsidRPr="00AA4472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4C7BE2" w:rsidRPr="00383B60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4C7BE2" w:rsidRPr="00383B60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D1490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4C7BE2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4C7BE2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PBV – bude instalovaný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 w:rsidR="00AA4472">
        <w:rPr>
          <w:rFonts w:ascii="Arial" w:hAnsi="Arial" w:cs="Arial"/>
          <w:sz w:val="22"/>
          <w:szCs w:val="22"/>
        </w:rPr>
        <w:t xml:space="preserve">, </w:t>
      </w:r>
    </w:p>
    <w:p w:rsidR="004C7BE2" w:rsidRPr="001567E4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3B025C" w:rsidRPr="00383B60" w:rsidRDefault="003B025C" w:rsidP="003B025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>Podpovrchové vystrojeni sondy:</w:t>
      </w:r>
    </w:p>
    <w:p w:rsidR="003B025C" w:rsidRPr="00383B60" w:rsidRDefault="00AA4472" w:rsidP="00447223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2 7/8“,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AA4472" w:rsidRDefault="00AA4472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kalník</w:t>
      </w:r>
      <w:proofErr w:type="spellEnd"/>
      <w:r>
        <w:rPr>
          <w:rFonts w:ascii="Arial" w:hAnsi="Arial" w:cs="Arial"/>
          <w:sz w:val="22"/>
          <w:szCs w:val="22"/>
        </w:rPr>
        <w:t xml:space="preserve"> 2 7/8“ SN,</w:t>
      </w:r>
      <w:r w:rsidR="00285399">
        <w:rPr>
          <w:rFonts w:ascii="Arial" w:hAnsi="Arial" w:cs="Arial"/>
          <w:sz w:val="22"/>
          <w:szCs w:val="22"/>
        </w:rPr>
        <w:t xml:space="preserve"> cca 1m</w:t>
      </w:r>
      <w:r>
        <w:rPr>
          <w:rFonts w:ascii="Arial" w:hAnsi="Arial" w:cs="Arial"/>
          <w:sz w:val="22"/>
          <w:szCs w:val="22"/>
        </w:rPr>
        <w:t xml:space="preserve">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862A0" w:rsidRDefault="00C862A0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filtrační kolona 2 7/8“ SN, </w:t>
      </w:r>
      <w:proofErr w:type="spellStart"/>
      <w:r>
        <w:rPr>
          <w:rFonts w:ascii="Arial" w:hAnsi="Arial" w:cs="Arial"/>
          <w:sz w:val="22"/>
          <w:szCs w:val="22"/>
        </w:rPr>
        <w:t>Excluder</w:t>
      </w:r>
      <w:proofErr w:type="spellEnd"/>
      <w:r>
        <w:rPr>
          <w:rFonts w:ascii="Arial" w:hAnsi="Arial" w:cs="Arial"/>
          <w:sz w:val="22"/>
          <w:szCs w:val="22"/>
        </w:rPr>
        <w:t xml:space="preserve"> 2000 – Medium, 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862A0" w:rsidRPr="00F50044" w:rsidRDefault="00C862A0" w:rsidP="00C862A0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92B67">
        <w:rPr>
          <w:rFonts w:ascii="Arial" w:hAnsi="Arial" w:cs="Arial"/>
          <w:sz w:val="22"/>
          <w:szCs w:val="22"/>
        </w:rPr>
        <w:t>shear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out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safety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joint</w:t>
      </w:r>
      <w:r>
        <w:rPr>
          <w:rFonts w:ascii="Arial" w:hAnsi="Arial" w:cs="Arial"/>
          <w:sz w:val="22"/>
          <w:szCs w:val="22"/>
        </w:rPr>
        <w:t xml:space="preserve"> GPR – 6, 2 7/8“ 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50044" w:rsidRPr="00392B67" w:rsidRDefault="00F50044" w:rsidP="00C862A0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2 7/8“ SN cca 3m,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usazovací vsuvka 2 7/8“</w:t>
      </w:r>
      <w:r w:rsidR="00F50044">
        <w:rPr>
          <w:rFonts w:ascii="Arial" w:hAnsi="Arial" w:cs="Arial"/>
          <w:sz w:val="22"/>
          <w:szCs w:val="22"/>
        </w:rPr>
        <w:t xml:space="preserve"> XN, </w:t>
      </w:r>
      <w:r w:rsidR="00F50044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B50D9A" w:rsidRPr="00392B67" w:rsidRDefault="00B50D9A" w:rsidP="00B50D9A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2 7/8“ 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50044" w:rsidRPr="00D415D6" w:rsidRDefault="00F50044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</w:t>
      </w:r>
      <w:r w:rsidR="00F51830">
        <w:rPr>
          <w:rFonts w:ascii="Arial" w:hAnsi="Arial" w:cs="Arial"/>
          <w:sz w:val="22"/>
          <w:szCs w:val="22"/>
        </w:rPr>
        <w:t>5“</w:t>
      </w:r>
      <w:r w:rsidR="00D415D6">
        <w:rPr>
          <w:rFonts w:ascii="Arial" w:hAnsi="Arial" w:cs="Arial"/>
          <w:sz w:val="22"/>
          <w:szCs w:val="22"/>
        </w:rPr>
        <w:t xml:space="preserve"> box x 2 7/8“ pin SN,</w:t>
      </w:r>
      <w:r w:rsidR="00D415D6" w:rsidRPr="00D415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415D6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415D6" w:rsidRDefault="00B50D9A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Gravel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extension</w:t>
      </w:r>
      <w:proofErr w:type="spellEnd"/>
      <w:r>
        <w:rPr>
          <w:rFonts w:ascii="Arial" w:hAnsi="Arial" w:cs="Arial"/>
          <w:sz w:val="22"/>
          <w:szCs w:val="22"/>
        </w:rPr>
        <w:t xml:space="preserve"> Model „S“ GP, w/</w:t>
      </w:r>
      <w:proofErr w:type="spellStart"/>
      <w:r>
        <w:rPr>
          <w:rFonts w:ascii="Arial" w:hAnsi="Arial" w:cs="Arial"/>
          <w:sz w:val="22"/>
          <w:szCs w:val="22"/>
        </w:rPr>
        <w:t>Sliding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Sleeve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</w:t>
      </w:r>
      <w:proofErr w:type="spellStart"/>
      <w:r>
        <w:rPr>
          <w:rFonts w:ascii="Arial" w:hAnsi="Arial" w:cs="Arial"/>
          <w:sz w:val="22"/>
          <w:szCs w:val="22"/>
        </w:rPr>
        <w:t>paker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50D9A">
        <w:rPr>
          <w:rFonts w:ascii="Arial" w:hAnsi="Arial" w:cs="Arial"/>
          <w:sz w:val="22"/>
          <w:szCs w:val="22"/>
        </w:rPr>
        <w:t xml:space="preserve">New SC-1A, </w:t>
      </w:r>
      <w:proofErr w:type="spellStart"/>
      <w:r w:rsidR="00B50D9A">
        <w:rPr>
          <w:rFonts w:ascii="Arial" w:hAnsi="Arial" w:cs="Arial"/>
          <w:sz w:val="22"/>
          <w:szCs w:val="22"/>
        </w:rPr>
        <w:t>Size</w:t>
      </w:r>
      <w:proofErr w:type="spellEnd"/>
      <w:r w:rsidR="00B50D9A">
        <w:rPr>
          <w:rFonts w:ascii="Arial" w:hAnsi="Arial" w:cs="Arial"/>
          <w:sz w:val="22"/>
          <w:szCs w:val="22"/>
        </w:rPr>
        <w:t xml:space="preserve"> 70B-40, pro 7“;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s.s</w:t>
      </w:r>
      <w:proofErr w:type="spellEnd"/>
      <w:r>
        <w:rPr>
          <w:rFonts w:ascii="Arial" w:hAnsi="Arial" w:cs="Arial"/>
          <w:sz w:val="22"/>
          <w:szCs w:val="22"/>
        </w:rPr>
        <w:t xml:space="preserve"> 9,19</w:t>
      </w:r>
      <w:proofErr w:type="gramEnd"/>
      <w:r w:rsidRPr="00383B60">
        <w:rPr>
          <w:rFonts w:ascii="Arial" w:hAnsi="Arial" w:cs="Arial"/>
          <w:sz w:val="22"/>
          <w:szCs w:val="22"/>
        </w:rPr>
        <w:t xml:space="preserve"> mm, </w:t>
      </w:r>
      <w:r w:rsidR="006E4A98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E4A98" w:rsidRPr="00545E81" w:rsidRDefault="006E4A98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anchor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tubing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assembly</w:t>
      </w:r>
      <w:proofErr w:type="spellEnd"/>
      <w:r>
        <w:rPr>
          <w:rFonts w:ascii="Arial" w:hAnsi="Arial" w:cs="Arial"/>
          <w:sz w:val="22"/>
          <w:szCs w:val="22"/>
        </w:rPr>
        <w:t xml:space="preserve"> S – 22, </w:t>
      </w:r>
      <w:proofErr w:type="spellStart"/>
      <w:r>
        <w:rPr>
          <w:rFonts w:ascii="Arial" w:hAnsi="Arial" w:cs="Arial"/>
          <w:sz w:val="22"/>
          <w:szCs w:val="22"/>
        </w:rPr>
        <w:t>Size</w:t>
      </w:r>
      <w:proofErr w:type="spellEnd"/>
      <w:r>
        <w:rPr>
          <w:rFonts w:ascii="Arial" w:hAnsi="Arial" w:cs="Arial"/>
          <w:sz w:val="22"/>
          <w:szCs w:val="22"/>
        </w:rPr>
        <w:t xml:space="preserve"> 80-40,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545E81" w:rsidRPr="00545E81" w:rsidRDefault="00545E81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3 ½“ X profil, </w:t>
      </w:r>
      <w:r>
        <w:rPr>
          <w:rFonts w:ascii="Arial" w:hAnsi="Arial" w:cs="Arial"/>
          <w:sz w:val="22"/>
          <w:szCs w:val="22"/>
        </w:rPr>
        <w:t xml:space="preserve">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proofErr w:type="spellStart"/>
      <w:r w:rsidR="007369D4">
        <w:rPr>
          <w:rFonts w:ascii="Arial" w:hAnsi="Arial" w:cs="Arial"/>
          <w:b/>
          <w:sz w:val="22"/>
          <w:szCs w:val="22"/>
          <w:u w:val="single"/>
        </w:rPr>
        <w:t>zhotovitel</w:t>
      </w:r>
      <w:r w:rsidRPr="00545E81">
        <w:rPr>
          <w:rFonts w:ascii="Arial" w:hAnsi="Arial" w:cs="Arial"/>
          <w:b/>
          <w:sz w:val="22"/>
          <w:szCs w:val="22"/>
          <w:u w:val="single"/>
        </w:rPr>
        <w:t>l</w:t>
      </w:r>
      <w:proofErr w:type="spellEnd"/>
    </w:p>
    <w:p w:rsidR="00545E81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 w:rsidR="00545E81">
        <w:rPr>
          <w:rFonts w:ascii="Arial" w:hAnsi="Arial" w:cs="Arial"/>
          <w:sz w:val="22"/>
          <w:szCs w:val="22"/>
        </w:rPr>
        <w:t xml:space="preserve">Ø 3 ½“ VAGT,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pup – joint Ø 3 ½“</w:t>
      </w:r>
      <w:r w:rsidRPr="00383B60">
        <w:rPr>
          <w:rFonts w:ascii="Arial" w:hAnsi="Arial" w:cs="Arial"/>
          <w:sz w:val="22"/>
          <w:szCs w:val="22"/>
        </w:rPr>
        <w:t xml:space="preserve"> VAGT, </w:t>
      </w:r>
      <w:r w:rsidR="00545E81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>3 ½“</w:t>
      </w:r>
      <w:r w:rsidR="00545E81">
        <w:rPr>
          <w:rFonts w:ascii="Arial" w:hAnsi="Arial" w:cs="Arial"/>
          <w:sz w:val="22"/>
          <w:szCs w:val="22"/>
        </w:rPr>
        <w:t xml:space="preserve">, </w:t>
      </w:r>
      <w:r w:rsidR="00545E81"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 w:rsidR="009D3657"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závěs stupaček 3 1/2“, horný závit 3 ½“ SV, spodní závit 3 ½“ VAGT,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F17903" w:rsidRPr="00871733" w:rsidRDefault="00F17903" w:rsidP="00F17903">
      <w:pPr>
        <w:rPr>
          <w:rFonts w:ascii="Arial" w:hAnsi="Arial" w:cs="Arial"/>
          <w:color w:val="365F91"/>
          <w:sz w:val="22"/>
          <w:szCs w:val="22"/>
        </w:rPr>
      </w:pPr>
    </w:p>
    <w:p w:rsidR="00285399" w:rsidRDefault="00285399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.10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CD4E0E">
        <w:rPr>
          <w:rFonts w:ascii="Arial" w:hAnsi="Arial" w:cs="Arial"/>
          <w:b/>
          <w:sz w:val="22"/>
          <w:szCs w:val="22"/>
          <w:u w:val="single"/>
        </w:rPr>
        <w:t>Ostatní p</w:t>
      </w:r>
      <w:r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F17903" w:rsidRPr="00005D90" w:rsidRDefault="00F17903" w:rsidP="00DD35A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trike/>
          <w:sz w:val="22"/>
          <w:szCs w:val="22"/>
        </w:rPr>
      </w:pPr>
    </w:p>
    <w:p w:rsidR="003B025C" w:rsidRPr="00CF7E6A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 xml:space="preserve">prodlužovací potrubí </w:t>
      </w:r>
      <w:r w:rsidRPr="004C7BE2">
        <w:rPr>
          <w:rFonts w:ascii="Arial" w:hAnsi="Arial" w:cs="Arial"/>
          <w:sz w:val="22"/>
          <w:szCs w:val="22"/>
        </w:rPr>
        <w:t>2“</w:t>
      </w:r>
      <w:r w:rsidRPr="00CF7E6A">
        <w:rPr>
          <w:rFonts w:ascii="Arial" w:hAnsi="Arial" w:cs="Arial"/>
          <w:sz w:val="22"/>
          <w:szCs w:val="22"/>
        </w:rPr>
        <w:t xml:space="preserve"> a jehlové </w:t>
      </w:r>
      <w:proofErr w:type="gramStart"/>
      <w:r w:rsidRPr="00CF7E6A">
        <w:rPr>
          <w:rFonts w:ascii="Arial" w:hAnsi="Arial" w:cs="Arial"/>
          <w:sz w:val="22"/>
          <w:szCs w:val="22"/>
        </w:rPr>
        <w:t xml:space="preserve">ventily </w:t>
      </w:r>
      <w:r w:rsidRPr="004C7BE2">
        <w:rPr>
          <w:rFonts w:ascii="Arial" w:hAnsi="Arial" w:cs="Arial"/>
          <w:sz w:val="22"/>
          <w:szCs w:val="22"/>
        </w:rPr>
        <w:t>3-cestné</w:t>
      </w:r>
      <w:proofErr w:type="gramEnd"/>
      <w:r w:rsidRPr="00CF7E6A">
        <w:rPr>
          <w:rFonts w:ascii="Arial" w:hAnsi="Arial" w:cs="Arial"/>
          <w:sz w:val="22"/>
          <w:szCs w:val="22"/>
        </w:rPr>
        <w:t xml:space="preserve">  na vývod z kolon + manometry – </w:t>
      </w:r>
      <w:r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F17903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manometry na PK – dodá zhotovitel</w:t>
      </w:r>
      <w:r w:rsidR="00B01ECE">
        <w:rPr>
          <w:rFonts w:ascii="Arial" w:hAnsi="Arial" w:cs="Arial"/>
          <w:sz w:val="22"/>
          <w:szCs w:val="22"/>
        </w:rPr>
        <w:t xml:space="preserve">, budou vyznačeny limitní hodnoty (stupačky =14,2 </w:t>
      </w:r>
      <w:proofErr w:type="spellStart"/>
      <w:r w:rsidR="00B01ECE">
        <w:rPr>
          <w:rFonts w:ascii="Arial" w:hAnsi="Arial" w:cs="Arial"/>
          <w:sz w:val="22"/>
          <w:szCs w:val="22"/>
        </w:rPr>
        <w:t>MPa</w:t>
      </w:r>
      <w:proofErr w:type="spellEnd"/>
      <w:r w:rsidR="00B01ECE">
        <w:rPr>
          <w:rFonts w:ascii="Arial" w:hAnsi="Arial" w:cs="Arial"/>
          <w:sz w:val="22"/>
          <w:szCs w:val="22"/>
        </w:rPr>
        <w:t xml:space="preserve">, mezikruží = 8 </w:t>
      </w:r>
      <w:proofErr w:type="spellStart"/>
      <w:r w:rsidR="00B01ECE">
        <w:rPr>
          <w:rFonts w:ascii="Arial" w:hAnsi="Arial" w:cs="Arial"/>
          <w:sz w:val="22"/>
          <w:szCs w:val="22"/>
        </w:rPr>
        <w:t>MPa</w:t>
      </w:r>
      <w:proofErr w:type="spellEnd"/>
      <w:r w:rsidR="00B01ECE">
        <w:rPr>
          <w:rFonts w:ascii="Arial" w:hAnsi="Arial" w:cs="Arial"/>
          <w:sz w:val="22"/>
          <w:szCs w:val="22"/>
        </w:rPr>
        <w:t xml:space="preserve">, ÚK a </w:t>
      </w:r>
      <w:proofErr w:type="spellStart"/>
      <w:r w:rsidR="00B01ECE">
        <w:rPr>
          <w:rFonts w:ascii="Arial" w:hAnsi="Arial" w:cs="Arial"/>
          <w:sz w:val="22"/>
          <w:szCs w:val="22"/>
        </w:rPr>
        <w:t>TeK</w:t>
      </w:r>
      <w:proofErr w:type="spellEnd"/>
      <w:r w:rsidR="00B01ECE">
        <w:rPr>
          <w:rFonts w:ascii="Arial" w:hAnsi="Arial" w:cs="Arial"/>
          <w:sz w:val="22"/>
          <w:szCs w:val="22"/>
        </w:rPr>
        <w:t xml:space="preserve"> = 0,5 </w:t>
      </w:r>
      <w:proofErr w:type="spellStart"/>
      <w:r w:rsidR="00B01ECE">
        <w:rPr>
          <w:rFonts w:ascii="Arial" w:hAnsi="Arial" w:cs="Arial"/>
          <w:sz w:val="22"/>
          <w:szCs w:val="22"/>
        </w:rPr>
        <w:t>MPa</w:t>
      </w:r>
      <w:proofErr w:type="spellEnd"/>
      <w:r w:rsidR="00B01ECE">
        <w:rPr>
          <w:rFonts w:ascii="Arial" w:hAnsi="Arial" w:cs="Arial"/>
          <w:sz w:val="22"/>
          <w:szCs w:val="22"/>
        </w:rPr>
        <w:t>),</w:t>
      </w:r>
      <w:r w:rsidR="003B025C">
        <w:rPr>
          <w:rFonts w:ascii="Arial" w:hAnsi="Arial" w:cs="Arial"/>
          <w:sz w:val="22"/>
          <w:szCs w:val="22"/>
        </w:rPr>
        <w:t xml:space="preserve"> </w:t>
      </w:r>
      <w:r w:rsidR="009005E4">
        <w:rPr>
          <w:rFonts w:ascii="Arial" w:hAnsi="Arial" w:cs="Arial"/>
          <w:sz w:val="22"/>
          <w:szCs w:val="22"/>
        </w:rPr>
        <w:t xml:space="preserve">- </w:t>
      </w:r>
      <w:r w:rsidR="009005E4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Pr="003B025C" w:rsidRDefault="00B01EC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B025C">
        <w:rPr>
          <w:rFonts w:ascii="Arial" w:hAnsi="Arial" w:cs="Arial"/>
          <w:sz w:val="22"/>
          <w:szCs w:val="22"/>
        </w:rPr>
        <w:t xml:space="preserve">PBV, </w:t>
      </w:r>
      <w:r w:rsidR="00F17903" w:rsidRPr="003B025C">
        <w:rPr>
          <w:rFonts w:ascii="Arial" w:hAnsi="Arial" w:cs="Arial"/>
          <w:sz w:val="22"/>
          <w:szCs w:val="22"/>
        </w:rPr>
        <w:t>C-L</w:t>
      </w:r>
      <w:r w:rsidRPr="003B025C">
        <w:rPr>
          <w:rFonts w:ascii="Arial" w:hAnsi="Arial" w:cs="Arial"/>
          <w:sz w:val="22"/>
          <w:szCs w:val="22"/>
        </w:rPr>
        <w:t>, Cross-</w:t>
      </w:r>
      <w:proofErr w:type="spellStart"/>
      <w:r w:rsidRPr="003B025C">
        <w:rPr>
          <w:rFonts w:ascii="Arial" w:hAnsi="Arial" w:cs="Arial"/>
          <w:sz w:val="22"/>
          <w:szCs w:val="22"/>
        </w:rPr>
        <w:t>couplings</w:t>
      </w:r>
      <w:proofErr w:type="spellEnd"/>
      <w:r w:rsidR="00F17903" w:rsidRPr="003B025C">
        <w:rPr>
          <w:rFonts w:ascii="Arial" w:hAnsi="Arial" w:cs="Arial"/>
          <w:sz w:val="22"/>
          <w:szCs w:val="22"/>
        </w:rPr>
        <w:t xml:space="preserve">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F17903" w:rsidRDefault="00CD4E0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17903">
        <w:rPr>
          <w:rFonts w:ascii="Arial" w:hAnsi="Arial" w:cs="Arial"/>
          <w:sz w:val="22"/>
          <w:szCs w:val="22"/>
        </w:rPr>
        <w:t xml:space="preserve">ontrolní manometr PPBV na PK </w:t>
      </w:r>
      <w:proofErr w:type="gramStart"/>
      <w:r w:rsidR="00F17903">
        <w:rPr>
          <w:rFonts w:ascii="Arial" w:hAnsi="Arial" w:cs="Arial"/>
          <w:sz w:val="22"/>
          <w:szCs w:val="22"/>
        </w:rPr>
        <w:t>včetně 3-cestného</w:t>
      </w:r>
      <w:proofErr w:type="gramEnd"/>
      <w:r w:rsidR="00F17903">
        <w:rPr>
          <w:rFonts w:ascii="Arial" w:hAnsi="Arial" w:cs="Arial"/>
          <w:sz w:val="22"/>
          <w:szCs w:val="22"/>
        </w:rPr>
        <w:t xml:space="preserve"> ventilu po instalaci, hydraulický olej do systému PPBV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0629C" w:rsidRDefault="00F0629C" w:rsidP="00F0629C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 w:rsidR="00545E81">
        <w:rPr>
          <w:rFonts w:ascii="Arial" w:hAnsi="Arial" w:cs="Arial"/>
          <w:sz w:val="22"/>
          <w:szCs w:val="22"/>
        </w:rPr>
        <w:t xml:space="preserve">–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F17903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</w:t>
      </w:r>
      <w:proofErr w:type="spellStart"/>
      <w:r w:rsidRPr="00871733">
        <w:rPr>
          <w:rFonts w:ascii="Arial" w:hAnsi="Arial" w:cs="Arial"/>
          <w:sz w:val="22"/>
          <w:szCs w:val="22"/>
        </w:rPr>
        <w:t>Zn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povrchové úpravě včetně montáže</w:t>
      </w:r>
      <w:r w:rsidR="00545E81">
        <w:rPr>
          <w:rFonts w:ascii="Arial" w:hAnsi="Arial" w:cs="Arial"/>
          <w:sz w:val="22"/>
          <w:szCs w:val="22"/>
        </w:rPr>
        <w:t xml:space="preserve"> –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CD4E0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17903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Default="003B025C" w:rsidP="003B025C">
      <w:pPr>
        <w:widowControl/>
        <w:autoSpaceDE w:val="0"/>
        <w:autoSpaceDN w:val="0"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305AF2" w:rsidRPr="003B025C" w:rsidRDefault="00305AF2" w:rsidP="003B025C">
      <w:pPr>
        <w:widowControl/>
        <w:autoSpaceDE w:val="0"/>
        <w:autoSpaceDN w:val="0"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B025C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manometrů.</w:t>
      </w:r>
      <w:r w:rsidR="00285399">
        <w:rPr>
          <w:rFonts w:ascii="Arial" w:hAnsi="Arial" w:cs="Arial"/>
          <w:b/>
          <w:sz w:val="22"/>
          <w:szCs w:val="22"/>
        </w:rPr>
        <w:t xml:space="preserve"> – dodá zhotovitel</w:t>
      </w:r>
    </w:p>
    <w:p w:rsidR="00F17903" w:rsidRDefault="00F17903" w:rsidP="00F1790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F17903" w:rsidRPr="00871733" w:rsidRDefault="00F17903" w:rsidP="00F1790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.11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F17903" w:rsidRPr="005726CA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D4E0E">
        <w:rPr>
          <w:rFonts w:ascii="Arial" w:hAnsi="Arial" w:cs="Arial"/>
          <w:sz w:val="22"/>
          <w:szCs w:val="22"/>
        </w:rPr>
        <w:t xml:space="preserve">viz výše – kap. </w:t>
      </w:r>
      <w:r w:rsidR="00CD4E0E">
        <w:rPr>
          <w:rFonts w:ascii="Arial" w:hAnsi="Arial" w:cs="Arial"/>
          <w:sz w:val="22"/>
          <w:szCs w:val="22"/>
        </w:rPr>
        <w:t>2.8</w:t>
      </w:r>
      <w:r w:rsidR="00545E81">
        <w:rPr>
          <w:rFonts w:ascii="Arial" w:hAnsi="Arial" w:cs="Arial"/>
          <w:sz w:val="22"/>
          <w:szCs w:val="22"/>
        </w:rPr>
        <w:t xml:space="preserve">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nutnost </w:t>
      </w:r>
      <w:r w:rsidRPr="005726CA">
        <w:rPr>
          <w:rFonts w:ascii="Arial" w:hAnsi="Arial" w:cs="Arial"/>
          <w:sz w:val="22"/>
          <w:szCs w:val="22"/>
        </w:rPr>
        <w:t>protokolární</w:t>
      </w:r>
      <w:r>
        <w:rPr>
          <w:rFonts w:ascii="Arial" w:hAnsi="Arial" w:cs="Arial"/>
          <w:sz w:val="22"/>
          <w:szCs w:val="22"/>
        </w:rPr>
        <w:t>ch</w:t>
      </w:r>
      <w:r w:rsidRPr="005726CA">
        <w:rPr>
          <w:rFonts w:ascii="Arial" w:hAnsi="Arial" w:cs="Arial"/>
          <w:sz w:val="22"/>
          <w:szCs w:val="22"/>
        </w:rPr>
        <w:t xml:space="preserve"> převzetí </w:t>
      </w:r>
      <w:r>
        <w:rPr>
          <w:rFonts w:ascii="Arial" w:hAnsi="Arial" w:cs="Arial"/>
          <w:sz w:val="22"/>
          <w:szCs w:val="22"/>
        </w:rPr>
        <w:t xml:space="preserve">sondy před a po </w:t>
      </w:r>
      <w:proofErr w:type="gramStart"/>
      <w:r>
        <w:rPr>
          <w:rFonts w:ascii="Arial" w:hAnsi="Arial" w:cs="Arial"/>
          <w:sz w:val="22"/>
          <w:szCs w:val="22"/>
        </w:rPr>
        <w:t>EKM</w:t>
      </w:r>
      <w:r w:rsidRPr="005726CA">
        <w:rPr>
          <w:rFonts w:ascii="Arial" w:hAnsi="Arial" w:cs="Arial"/>
          <w:sz w:val="22"/>
          <w:szCs w:val="22"/>
        </w:rPr>
        <w:t xml:space="preserve"> ( technický</w:t>
      </w:r>
      <w:proofErr w:type="gramEnd"/>
      <w:r w:rsidRPr="005726CA">
        <w:rPr>
          <w:rFonts w:ascii="Arial" w:hAnsi="Arial" w:cs="Arial"/>
          <w:sz w:val="22"/>
          <w:szCs w:val="22"/>
        </w:rPr>
        <w:t xml:space="preserve"> stav a výstroj</w:t>
      </w:r>
      <w:r>
        <w:rPr>
          <w:rFonts w:ascii="Arial" w:hAnsi="Arial" w:cs="Arial"/>
          <w:sz w:val="22"/>
          <w:szCs w:val="22"/>
        </w:rPr>
        <w:t xml:space="preserve"> - průměry</w:t>
      </w:r>
      <w:r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nutno </w:t>
      </w:r>
      <w:r w:rsidR="0057109D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usazení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 w:rsidRPr="00871733">
        <w:rPr>
          <w:rFonts w:ascii="Arial" w:hAnsi="Arial" w:cs="Arial"/>
          <w:sz w:val="22"/>
          <w:szCs w:val="22"/>
        </w:rPr>
        <w:t>,</w:t>
      </w:r>
    </w:p>
    <w:p w:rsidR="00545E81" w:rsidRPr="00CD4E0E" w:rsidRDefault="00545E81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karotáž </w:t>
      </w:r>
      <w:r w:rsidRPr="00545E81">
        <w:rPr>
          <w:rFonts w:ascii="Arial" w:hAnsi="Arial" w:cs="Arial"/>
          <w:b/>
          <w:sz w:val="22"/>
          <w:szCs w:val="22"/>
          <w:u w:val="single"/>
        </w:rPr>
        <w:t>zajistí zadavatel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CD4E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17903" w:rsidRPr="009005E4" w:rsidRDefault="00F17903" w:rsidP="009005E4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</w:t>
      </w:r>
      <w:proofErr w:type="spellStart"/>
      <w:r w:rsidRPr="00871733">
        <w:rPr>
          <w:rFonts w:ascii="Arial" w:hAnsi="Arial" w:cs="Arial"/>
          <w:sz w:val="22"/>
          <w:szCs w:val="22"/>
        </w:rPr>
        <w:t>control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line, tlaková a funkční zkouška, </w:t>
      </w:r>
      <w:r w:rsidRPr="009005E4">
        <w:rPr>
          <w:rFonts w:ascii="Arial" w:hAnsi="Arial" w:cs="Arial"/>
          <w:sz w:val="22"/>
          <w:szCs w:val="22"/>
        </w:rPr>
        <w:t xml:space="preserve">úprava ústí závěsu stupaček a PK - vývodu, instalace manometru, ventilu, otevření tlakem, vystavení </w:t>
      </w:r>
      <w:proofErr w:type="gramStart"/>
      <w:r w:rsidRPr="009005E4">
        <w:rPr>
          <w:rFonts w:ascii="Arial" w:hAnsi="Arial" w:cs="Arial"/>
          <w:sz w:val="22"/>
          <w:szCs w:val="22"/>
        </w:rPr>
        <w:t xml:space="preserve">protokolu ( </w:t>
      </w:r>
      <w:proofErr w:type="spellStart"/>
      <w:r w:rsidRPr="009005E4">
        <w:rPr>
          <w:rFonts w:ascii="Arial" w:hAnsi="Arial" w:cs="Arial"/>
          <w:sz w:val="22"/>
          <w:szCs w:val="22"/>
        </w:rPr>
        <w:t>job</w:t>
      </w:r>
      <w:proofErr w:type="spellEnd"/>
      <w:proofErr w:type="gramEnd"/>
      <w:r w:rsidRPr="009005E4">
        <w:rPr>
          <w:rFonts w:ascii="Arial" w:hAnsi="Arial" w:cs="Arial"/>
          <w:sz w:val="22"/>
          <w:szCs w:val="22"/>
        </w:rPr>
        <w:t xml:space="preserve"> r</w:t>
      </w:r>
      <w:r w:rsidRPr="009005E4">
        <w:rPr>
          <w:rFonts w:ascii="Arial" w:hAnsi="Arial" w:cs="Arial"/>
          <w:sz w:val="22"/>
          <w:szCs w:val="22"/>
        </w:rPr>
        <w:t>e</w:t>
      </w:r>
      <w:r w:rsidR="00A8728B" w:rsidRPr="009005E4">
        <w:rPr>
          <w:rFonts w:ascii="Arial" w:hAnsi="Arial" w:cs="Arial"/>
          <w:sz w:val="22"/>
          <w:szCs w:val="22"/>
        </w:rPr>
        <w:t xml:space="preserve">port ) - </w:t>
      </w:r>
      <w:r w:rsidR="00A8728B" w:rsidRPr="009005E4">
        <w:rPr>
          <w:rFonts w:ascii="Arial" w:hAnsi="Arial" w:cs="Arial"/>
          <w:b/>
          <w:sz w:val="22"/>
          <w:szCs w:val="22"/>
          <w:u w:val="single"/>
        </w:rPr>
        <w:t>zajistí zadavatel</w:t>
      </w:r>
      <w:r w:rsidR="009005E4">
        <w:rPr>
          <w:rFonts w:ascii="Arial" w:hAnsi="Arial" w:cs="Arial"/>
          <w:b/>
          <w:sz w:val="22"/>
          <w:szCs w:val="22"/>
          <w:u w:val="single"/>
        </w:rPr>
        <w:t xml:space="preserve"> v koordinaci se zhotovitelem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871733">
        <w:rPr>
          <w:rFonts w:ascii="Arial" w:hAnsi="Arial" w:cs="Arial"/>
          <w:sz w:val="22"/>
          <w:szCs w:val="22"/>
        </w:rPr>
        <w:t>wire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-line operace dle odst. </w:t>
      </w:r>
      <w:r w:rsidR="00CD4E0E">
        <w:rPr>
          <w:rFonts w:ascii="Arial" w:hAnsi="Arial" w:cs="Arial"/>
          <w:sz w:val="22"/>
          <w:szCs w:val="22"/>
        </w:rPr>
        <w:t>2.8.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otevření </w:t>
      </w:r>
      <w:proofErr w:type="gramStart"/>
      <w:r>
        <w:rPr>
          <w:rFonts w:ascii="Arial" w:hAnsi="Arial" w:cs="Arial"/>
          <w:sz w:val="22"/>
          <w:szCs w:val="22"/>
        </w:rPr>
        <w:t>P.O: příp.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 xml:space="preserve">chodnost sondy – </w:t>
      </w:r>
      <w:r w:rsidR="00A8728B" w:rsidRPr="00A8728B">
        <w:rPr>
          <w:rFonts w:ascii="Arial" w:hAnsi="Arial" w:cs="Arial"/>
          <w:b/>
          <w:sz w:val="22"/>
          <w:szCs w:val="22"/>
          <w:u w:val="single"/>
        </w:rPr>
        <w:t>zajistí zadavatel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Re-pase, úprava </w:t>
      </w:r>
      <w:r w:rsidR="007369D4">
        <w:rPr>
          <w:rFonts w:ascii="Arial" w:hAnsi="Arial" w:cs="Arial"/>
          <w:sz w:val="22"/>
          <w:szCs w:val="22"/>
        </w:rPr>
        <w:t xml:space="preserve">pro PPBV včetně úpravy stupáčkového závěsu pro CL, </w:t>
      </w:r>
      <w:r>
        <w:rPr>
          <w:rFonts w:ascii="Arial" w:hAnsi="Arial" w:cs="Arial"/>
          <w:sz w:val="22"/>
          <w:szCs w:val="22"/>
        </w:rPr>
        <w:t xml:space="preserve">a zpětný dovoz stávajícího PK </w:t>
      </w:r>
      <w:r w:rsidR="00B01ECE">
        <w:rPr>
          <w:rFonts w:ascii="Arial" w:hAnsi="Arial" w:cs="Arial"/>
          <w:sz w:val="22"/>
          <w:szCs w:val="22"/>
        </w:rPr>
        <w:t>do areálu PZP</w:t>
      </w:r>
      <w:r w:rsidR="00A8728B">
        <w:rPr>
          <w:rFonts w:ascii="Arial" w:hAnsi="Arial" w:cs="Arial"/>
          <w:sz w:val="22"/>
          <w:szCs w:val="22"/>
        </w:rPr>
        <w:t xml:space="preserve">, </w:t>
      </w:r>
      <w:r w:rsidR="00A8728B" w:rsidRPr="00A8728B">
        <w:rPr>
          <w:rFonts w:ascii="Arial" w:hAnsi="Arial" w:cs="Arial"/>
          <w:b/>
          <w:sz w:val="22"/>
          <w:szCs w:val="22"/>
          <w:u w:val="single"/>
        </w:rPr>
        <w:t>zajistí zhotovitel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.13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F03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lastRenderedPageBreak/>
        <w:t xml:space="preserve">vyřízení vstupů na pozemky pro pracoviště a přístupové cesty, zjištění podzemních sítí na dotčených pozemcích (v geometrickém plánu sondy budou jen sítě RWE </w:t>
      </w:r>
      <w:proofErr w:type="spellStart"/>
      <w:r w:rsidRPr="00871733">
        <w:rPr>
          <w:rFonts w:ascii="Arial" w:hAnsi="Arial" w:cs="Arial"/>
          <w:sz w:val="22"/>
          <w:szCs w:val="22"/>
        </w:rPr>
        <w:t>Gas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733">
        <w:rPr>
          <w:rFonts w:ascii="Arial" w:hAnsi="Arial" w:cs="Arial"/>
          <w:sz w:val="22"/>
          <w:szCs w:val="22"/>
        </w:rPr>
        <w:t>Storage</w:t>
      </w:r>
      <w:proofErr w:type="spellEnd"/>
      <w:r w:rsidRPr="00871733">
        <w:rPr>
          <w:rFonts w:ascii="Arial" w:hAnsi="Arial" w:cs="Arial"/>
          <w:sz w:val="22"/>
          <w:szCs w:val="22"/>
        </w:rPr>
        <w:t>, s.r.</w:t>
      </w:r>
      <w:proofErr w:type="gramStart"/>
      <w:r w:rsidRPr="00871733">
        <w:rPr>
          <w:rFonts w:ascii="Arial" w:hAnsi="Arial" w:cs="Arial"/>
          <w:sz w:val="22"/>
          <w:szCs w:val="22"/>
        </w:rPr>
        <w:t>o. )</w:t>
      </w:r>
      <w:proofErr w:type="gramEnd"/>
    </w:p>
    <w:p w:rsidR="00F17903" w:rsidRPr="00CD4E0E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>nahlédnutí do dokumentace z poslední POS</w:t>
      </w:r>
      <w:r w:rsidR="00CD4E0E" w:rsidRPr="004C7BE2">
        <w:rPr>
          <w:rFonts w:ascii="Arial" w:hAnsi="Arial" w:cs="Arial"/>
          <w:sz w:val="22"/>
          <w:szCs w:val="22"/>
        </w:rPr>
        <w:t>. Zpracovaní pr</w:t>
      </w:r>
      <w:r w:rsidR="00CD4E0E" w:rsidRPr="004C7BE2">
        <w:rPr>
          <w:rFonts w:ascii="Arial" w:hAnsi="Arial" w:cs="Arial"/>
          <w:sz w:val="22"/>
          <w:szCs w:val="22"/>
        </w:rPr>
        <w:t>o</w:t>
      </w:r>
      <w:r w:rsidR="00CD4E0E" w:rsidRPr="004C7BE2">
        <w:rPr>
          <w:rFonts w:ascii="Arial" w:hAnsi="Arial" w:cs="Arial"/>
          <w:sz w:val="22"/>
          <w:szCs w:val="22"/>
        </w:rPr>
        <w:t>jekt opravy sondy zaslat zadavatelovi na kontrolu min. 10 dnu před začetím POS.</w:t>
      </w:r>
      <w:r w:rsidR="00CD4E0E"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F17903" w:rsidRPr="00DA5F66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 xml:space="preserve">opravit sklep sondy – dobetonování </w:t>
      </w:r>
      <w:proofErr w:type="gramStart"/>
      <w:r w:rsidRPr="00DA5F66">
        <w:rPr>
          <w:rFonts w:ascii="Arial" w:hAnsi="Arial" w:cs="Arial"/>
          <w:sz w:val="22"/>
          <w:szCs w:val="22"/>
        </w:rPr>
        <w:t>sklepa  s úpravou</w:t>
      </w:r>
      <w:proofErr w:type="gramEnd"/>
      <w:r w:rsidRPr="00DA5F66">
        <w:rPr>
          <w:rFonts w:ascii="Arial" w:hAnsi="Arial" w:cs="Arial"/>
          <w:sz w:val="22"/>
          <w:szCs w:val="22"/>
        </w:rPr>
        <w:t xml:space="preserve">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BB4BBB">
        <w:rPr>
          <w:rFonts w:ascii="Arial" w:hAnsi="Arial" w:cs="Arial"/>
          <w:sz w:val="22"/>
          <w:szCs w:val="22"/>
        </w:rPr>
        <w:t>odstranění „</w:t>
      </w:r>
      <w:proofErr w:type="spellStart"/>
      <w:r w:rsidRPr="00BB4BBB">
        <w:rPr>
          <w:rFonts w:ascii="Arial" w:hAnsi="Arial" w:cs="Arial"/>
          <w:sz w:val="22"/>
          <w:szCs w:val="22"/>
        </w:rPr>
        <w:t>kapáku</w:t>
      </w:r>
      <w:proofErr w:type="spellEnd"/>
      <w:r w:rsidRPr="00BB4BBB">
        <w:rPr>
          <w:rFonts w:ascii="Arial" w:hAnsi="Arial" w:cs="Arial"/>
          <w:sz w:val="22"/>
          <w:szCs w:val="22"/>
        </w:rPr>
        <w:t>“, úprava</w:t>
      </w:r>
      <w:r w:rsidRPr="007025E9">
        <w:rPr>
          <w:rFonts w:ascii="Arial" w:hAnsi="Arial" w:cs="Arial"/>
          <w:sz w:val="22"/>
          <w:szCs w:val="22"/>
        </w:rPr>
        <w:t xml:space="preserve"> přípojky sondy včetně jejího napojení v případě změny „st</w:t>
      </w:r>
      <w:r w:rsidRPr="007025E9">
        <w:rPr>
          <w:rFonts w:ascii="Arial" w:hAnsi="Arial" w:cs="Arial"/>
          <w:sz w:val="22"/>
          <w:szCs w:val="22"/>
        </w:rPr>
        <w:t>a</w:t>
      </w:r>
      <w:r w:rsidRPr="007025E9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zkoušky přípojky po napojení včetně protokolu.</w:t>
      </w:r>
      <w:r w:rsidR="006A0657">
        <w:rPr>
          <w:rFonts w:ascii="Arial" w:hAnsi="Arial" w:cs="Arial"/>
          <w:sz w:val="22"/>
          <w:szCs w:val="22"/>
        </w:rPr>
        <w:t xml:space="preserve"> Příprava pro napojení na HBS.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jiteli,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</w:t>
      </w:r>
      <w:proofErr w:type="spellStart"/>
      <w:r w:rsidRPr="00871733">
        <w:rPr>
          <w:rFonts w:ascii="Arial" w:hAnsi="Arial" w:cs="Arial"/>
          <w:sz w:val="22"/>
          <w:szCs w:val="22"/>
        </w:rPr>
        <w:t>vyhl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žadujeme </w:t>
      </w:r>
      <w:r w:rsidR="003F0343"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délkách, hloubkách zapuštění, vnitřních i vnějších průměrech, typech materiálu, protokoly o tlak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filtrační k</w:t>
      </w:r>
      <w:r w:rsidRPr="00751E3C">
        <w:rPr>
          <w:rFonts w:ascii="Arial" w:hAnsi="Arial" w:cs="Arial"/>
          <w:sz w:val="22"/>
          <w:szCs w:val="22"/>
        </w:rPr>
        <w:t>o</w:t>
      </w:r>
      <w:r w:rsidRPr="00751E3C">
        <w:rPr>
          <w:rFonts w:ascii="Arial" w:hAnsi="Arial" w:cs="Arial"/>
          <w:sz w:val="22"/>
          <w:szCs w:val="22"/>
        </w:rPr>
        <w:t xml:space="preserve">lony – u FK i certifikáty </w:t>
      </w:r>
      <w:proofErr w:type="spellStart"/>
      <w:r w:rsidRPr="00751E3C">
        <w:rPr>
          <w:rFonts w:ascii="Arial" w:hAnsi="Arial" w:cs="Arial"/>
          <w:sz w:val="22"/>
          <w:szCs w:val="22"/>
        </w:rPr>
        <w:t>obsypového</w:t>
      </w:r>
      <w:proofErr w:type="spellEnd"/>
      <w:r w:rsidRPr="00751E3C">
        <w:rPr>
          <w:rFonts w:ascii="Arial" w:hAnsi="Arial" w:cs="Arial"/>
          <w:sz w:val="22"/>
          <w:szCs w:val="22"/>
        </w:rPr>
        <w:t xml:space="preserve"> materiálu.</w:t>
      </w:r>
      <w:r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CD4E0E" w:rsidRPr="00CD4E0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.14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F03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</w:t>
      </w:r>
      <w:proofErr w:type="gramStart"/>
      <w:r w:rsidRPr="00871733">
        <w:rPr>
          <w:rFonts w:ascii="Arial" w:hAnsi="Arial" w:cs="Arial"/>
          <w:b/>
          <w:sz w:val="22"/>
          <w:szCs w:val="22"/>
          <w:u w:val="single"/>
        </w:rPr>
        <w:t>POS</w:t>
      </w:r>
      <w:proofErr w:type="gramEnd"/>
      <w:r w:rsidRPr="00871733">
        <w:rPr>
          <w:rFonts w:ascii="Arial" w:hAnsi="Arial" w:cs="Arial"/>
          <w:b/>
          <w:sz w:val="22"/>
          <w:szCs w:val="22"/>
          <w:u w:val="single"/>
        </w:rPr>
        <w:t xml:space="preserve"> na dané sondě</w:t>
      </w:r>
      <w:r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</w:t>
      </w:r>
      <w:proofErr w:type="gramStart"/>
      <w:r>
        <w:rPr>
          <w:rFonts w:ascii="Arial" w:hAnsi="Arial" w:cs="Arial"/>
          <w:sz w:val="22"/>
          <w:szCs w:val="22"/>
        </w:rPr>
        <w:t>POS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r w:rsidRPr="00A8728B">
        <w:rPr>
          <w:rFonts w:ascii="Arial" w:hAnsi="Arial" w:cs="Arial"/>
          <w:b/>
          <w:sz w:val="22"/>
          <w:szCs w:val="22"/>
          <w:u w:val="single"/>
        </w:rPr>
        <w:t xml:space="preserve">zajistí </w:t>
      </w:r>
      <w:r w:rsidR="000F5014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980F3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 elektronické formě zhotoviteli,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 plocha bude po ukončení opravy dokonale očištěna – pokud bude i třeba i sp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ci</w:t>
      </w:r>
      <w:r w:rsidR="00830A1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lní čistící technikou.</w:t>
      </w:r>
    </w:p>
    <w:p w:rsidR="00F17903" w:rsidRPr="00871733" w:rsidRDefault="00F17903" w:rsidP="00F17903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CD4E0E" w:rsidRDefault="00F17903" w:rsidP="00CD4E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</w:t>
      </w:r>
    </w:p>
    <w:p w:rsidR="002E116F" w:rsidRDefault="002E116F" w:rsidP="00305586">
      <w:pPr>
        <w:rPr>
          <w:rFonts w:ascii="Arial" w:hAnsi="Arial" w:cs="Arial"/>
          <w:color w:val="000080"/>
        </w:rPr>
      </w:pPr>
    </w:p>
    <w:sectPr w:rsidR="002E116F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19" w:rsidRDefault="009A4819" w:rsidP="00F91019">
      <w:pPr>
        <w:spacing w:line="240" w:lineRule="auto"/>
      </w:pPr>
      <w:r>
        <w:separator/>
      </w:r>
    </w:p>
  </w:endnote>
  <w:endnote w:type="continuationSeparator" w:id="0">
    <w:p w:rsidR="009A4819" w:rsidRDefault="009A4819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1F" w:rsidRPr="00CD4E0E" w:rsidRDefault="000F5014">
    <w:pPr>
      <w:pStyle w:val="Zpat"/>
      <w:jc w:val="center"/>
      <w:rPr>
        <w:sz w:val="22"/>
      </w:rPr>
    </w:pPr>
    <w:sdt>
      <w:sdtPr>
        <w:id w:val="79017012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CD4E0E">
          <w:t xml:space="preserve">-  </w:t>
        </w:r>
        <w:r w:rsidR="00384E1F" w:rsidRPr="00CD4E0E">
          <w:rPr>
            <w:sz w:val="22"/>
          </w:rPr>
          <w:fldChar w:fldCharType="begin"/>
        </w:r>
        <w:r w:rsidR="00384E1F" w:rsidRPr="00CD4E0E">
          <w:rPr>
            <w:sz w:val="22"/>
          </w:rPr>
          <w:instrText xml:space="preserve"> PAGE   \* MERGEFORMAT </w:instrText>
        </w:r>
        <w:r w:rsidR="00384E1F" w:rsidRPr="00CD4E0E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="00384E1F" w:rsidRPr="00CD4E0E">
          <w:rPr>
            <w:noProof/>
            <w:sz w:val="22"/>
          </w:rPr>
          <w:fldChar w:fldCharType="end"/>
        </w:r>
      </w:sdtContent>
    </w:sdt>
    <w:r w:rsidR="00CD4E0E">
      <w:rPr>
        <w:sz w:val="22"/>
      </w:rPr>
      <w:t xml:space="preserve">  -</w:t>
    </w:r>
  </w:p>
  <w:p w:rsidR="00384E1F" w:rsidRDefault="00384E1F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19" w:rsidRDefault="009A4819" w:rsidP="00F91019">
      <w:pPr>
        <w:spacing w:line="240" w:lineRule="auto"/>
      </w:pPr>
      <w:r>
        <w:separator/>
      </w:r>
    </w:p>
  </w:footnote>
  <w:footnote w:type="continuationSeparator" w:id="0">
    <w:p w:rsidR="009A4819" w:rsidRDefault="009A4819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EC" w:rsidRPr="0098289E" w:rsidRDefault="00CD4E0E" w:rsidP="00FD3EEC">
    <w:pPr>
      <w:pStyle w:val="Zhlav"/>
      <w:jc w:val="center"/>
      <w:rPr>
        <w:rFonts w:asciiTheme="minorHAnsi" w:hAnsiTheme="minorHAnsi"/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216534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" strokecolor="black [3040]">
              <o:lock v:ext="edit" shapetype="f"/>
              <w10:wrap anchorx="margin"/>
            </v:line>
          </w:pict>
        </mc:Fallback>
      </mc:AlternateContent>
    </w:r>
    <w:r w:rsidR="00FD3EEC">
      <w:rPr>
        <w:rFonts w:asciiTheme="minorHAnsi" w:hAnsiTheme="minorHAnsi"/>
        <w:sz w:val="24"/>
      </w:rPr>
      <w:t>Podzemní oprava sondy Hrušky Z 27 - podklady</w:t>
    </w:r>
  </w:p>
  <w:p w:rsidR="00FD3EEC" w:rsidRDefault="00FD3E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B1404C"/>
    <w:multiLevelType w:val="hybridMultilevel"/>
    <w:tmpl w:val="C66E07C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8"/>
  </w:num>
  <w:num w:numId="14">
    <w:abstractNumId w:val="4"/>
  </w:num>
  <w:num w:numId="15">
    <w:abstractNumId w:val="6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12FBD"/>
    <w:rsid w:val="0001329B"/>
    <w:rsid w:val="00020A10"/>
    <w:rsid w:val="0002312A"/>
    <w:rsid w:val="000303DB"/>
    <w:rsid w:val="00035AE5"/>
    <w:rsid w:val="000374A4"/>
    <w:rsid w:val="000445F9"/>
    <w:rsid w:val="000458EE"/>
    <w:rsid w:val="00060F77"/>
    <w:rsid w:val="00062092"/>
    <w:rsid w:val="000623E6"/>
    <w:rsid w:val="00062E20"/>
    <w:rsid w:val="00063467"/>
    <w:rsid w:val="000749F1"/>
    <w:rsid w:val="00080BB5"/>
    <w:rsid w:val="00082692"/>
    <w:rsid w:val="00083A88"/>
    <w:rsid w:val="0008612E"/>
    <w:rsid w:val="0009581A"/>
    <w:rsid w:val="0009591C"/>
    <w:rsid w:val="000A3E73"/>
    <w:rsid w:val="000A5C61"/>
    <w:rsid w:val="000B18E2"/>
    <w:rsid w:val="000B6720"/>
    <w:rsid w:val="000C254A"/>
    <w:rsid w:val="000C2F1A"/>
    <w:rsid w:val="000C3EE9"/>
    <w:rsid w:val="000D1217"/>
    <w:rsid w:val="000E0975"/>
    <w:rsid w:val="000E1F32"/>
    <w:rsid w:val="000E737D"/>
    <w:rsid w:val="000F2ACE"/>
    <w:rsid w:val="000F43D9"/>
    <w:rsid w:val="000F5014"/>
    <w:rsid w:val="000F5384"/>
    <w:rsid w:val="000F70AB"/>
    <w:rsid w:val="00117363"/>
    <w:rsid w:val="00124DC2"/>
    <w:rsid w:val="00130507"/>
    <w:rsid w:val="00131051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7C23"/>
    <w:rsid w:val="001600E7"/>
    <w:rsid w:val="00161971"/>
    <w:rsid w:val="001649B8"/>
    <w:rsid w:val="001807C4"/>
    <w:rsid w:val="00185114"/>
    <w:rsid w:val="001872F5"/>
    <w:rsid w:val="00197FCA"/>
    <w:rsid w:val="001A68D8"/>
    <w:rsid w:val="001B147F"/>
    <w:rsid w:val="001B3FC6"/>
    <w:rsid w:val="001C029E"/>
    <w:rsid w:val="001C0D9C"/>
    <w:rsid w:val="001C467D"/>
    <w:rsid w:val="001D1517"/>
    <w:rsid w:val="001E28C7"/>
    <w:rsid w:val="001E54EB"/>
    <w:rsid w:val="001E7026"/>
    <w:rsid w:val="001F2E75"/>
    <w:rsid w:val="002111C2"/>
    <w:rsid w:val="0021216B"/>
    <w:rsid w:val="00220774"/>
    <w:rsid w:val="00222C80"/>
    <w:rsid w:val="00236ED4"/>
    <w:rsid w:val="00241C21"/>
    <w:rsid w:val="002536D1"/>
    <w:rsid w:val="00253C4C"/>
    <w:rsid w:val="0025483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5399"/>
    <w:rsid w:val="0028619F"/>
    <w:rsid w:val="00294BE0"/>
    <w:rsid w:val="002A0021"/>
    <w:rsid w:val="002A1EA1"/>
    <w:rsid w:val="002A2438"/>
    <w:rsid w:val="002B2ED4"/>
    <w:rsid w:val="002B71FD"/>
    <w:rsid w:val="002C4F3C"/>
    <w:rsid w:val="002C7EC3"/>
    <w:rsid w:val="002D1A31"/>
    <w:rsid w:val="002E0A64"/>
    <w:rsid w:val="002E116F"/>
    <w:rsid w:val="002E66C5"/>
    <w:rsid w:val="002E75D4"/>
    <w:rsid w:val="002F587F"/>
    <w:rsid w:val="002F5B07"/>
    <w:rsid w:val="00300CD8"/>
    <w:rsid w:val="003010DF"/>
    <w:rsid w:val="0030503C"/>
    <w:rsid w:val="00305586"/>
    <w:rsid w:val="00305AF2"/>
    <w:rsid w:val="003105E9"/>
    <w:rsid w:val="00310672"/>
    <w:rsid w:val="00311D31"/>
    <w:rsid w:val="003157D5"/>
    <w:rsid w:val="00321002"/>
    <w:rsid w:val="003224DA"/>
    <w:rsid w:val="00325293"/>
    <w:rsid w:val="0032595C"/>
    <w:rsid w:val="00334721"/>
    <w:rsid w:val="003371C8"/>
    <w:rsid w:val="00341F02"/>
    <w:rsid w:val="00354464"/>
    <w:rsid w:val="00360DC3"/>
    <w:rsid w:val="003641D7"/>
    <w:rsid w:val="00364866"/>
    <w:rsid w:val="003651A0"/>
    <w:rsid w:val="00365679"/>
    <w:rsid w:val="003716DF"/>
    <w:rsid w:val="00384E1F"/>
    <w:rsid w:val="00390DD6"/>
    <w:rsid w:val="003912BD"/>
    <w:rsid w:val="003925A6"/>
    <w:rsid w:val="00392D8A"/>
    <w:rsid w:val="00396DCB"/>
    <w:rsid w:val="0039741B"/>
    <w:rsid w:val="003A04A0"/>
    <w:rsid w:val="003A27A3"/>
    <w:rsid w:val="003B025C"/>
    <w:rsid w:val="003B3922"/>
    <w:rsid w:val="003C3112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20240"/>
    <w:rsid w:val="0042034E"/>
    <w:rsid w:val="004325B8"/>
    <w:rsid w:val="00436992"/>
    <w:rsid w:val="0044045B"/>
    <w:rsid w:val="00441AAD"/>
    <w:rsid w:val="00442000"/>
    <w:rsid w:val="00445015"/>
    <w:rsid w:val="004460F4"/>
    <w:rsid w:val="00447223"/>
    <w:rsid w:val="00450102"/>
    <w:rsid w:val="00452071"/>
    <w:rsid w:val="00452E95"/>
    <w:rsid w:val="004533A2"/>
    <w:rsid w:val="0046439A"/>
    <w:rsid w:val="0046518A"/>
    <w:rsid w:val="00472CE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0382"/>
    <w:rsid w:val="004A27A0"/>
    <w:rsid w:val="004A2951"/>
    <w:rsid w:val="004A427C"/>
    <w:rsid w:val="004A7017"/>
    <w:rsid w:val="004A77A1"/>
    <w:rsid w:val="004B13C2"/>
    <w:rsid w:val="004B1851"/>
    <w:rsid w:val="004B62B1"/>
    <w:rsid w:val="004C25E7"/>
    <w:rsid w:val="004C48AF"/>
    <w:rsid w:val="004C4ED4"/>
    <w:rsid w:val="004C6DC6"/>
    <w:rsid w:val="004C7BE2"/>
    <w:rsid w:val="004D2B1D"/>
    <w:rsid w:val="004E3DF0"/>
    <w:rsid w:val="004E6FEA"/>
    <w:rsid w:val="004F0857"/>
    <w:rsid w:val="00510AF1"/>
    <w:rsid w:val="00513943"/>
    <w:rsid w:val="00514A8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5E81"/>
    <w:rsid w:val="0054798D"/>
    <w:rsid w:val="00566912"/>
    <w:rsid w:val="0057109D"/>
    <w:rsid w:val="005715B0"/>
    <w:rsid w:val="005726CA"/>
    <w:rsid w:val="00577E62"/>
    <w:rsid w:val="00583825"/>
    <w:rsid w:val="00587E43"/>
    <w:rsid w:val="00592D49"/>
    <w:rsid w:val="00594B9E"/>
    <w:rsid w:val="00596082"/>
    <w:rsid w:val="005A4785"/>
    <w:rsid w:val="005B0E54"/>
    <w:rsid w:val="005B262A"/>
    <w:rsid w:val="005C43B2"/>
    <w:rsid w:val="005D1070"/>
    <w:rsid w:val="005D2BB4"/>
    <w:rsid w:val="005D35E5"/>
    <w:rsid w:val="005F01A0"/>
    <w:rsid w:val="005F0C1C"/>
    <w:rsid w:val="005F1EF5"/>
    <w:rsid w:val="005F3AF3"/>
    <w:rsid w:val="005F60FC"/>
    <w:rsid w:val="005F7F39"/>
    <w:rsid w:val="00604097"/>
    <w:rsid w:val="0060567C"/>
    <w:rsid w:val="00610BBC"/>
    <w:rsid w:val="006129C7"/>
    <w:rsid w:val="00614C2E"/>
    <w:rsid w:val="00616A43"/>
    <w:rsid w:val="00621EF3"/>
    <w:rsid w:val="00624C87"/>
    <w:rsid w:val="00625647"/>
    <w:rsid w:val="0063280B"/>
    <w:rsid w:val="00636B68"/>
    <w:rsid w:val="00642098"/>
    <w:rsid w:val="00642C3C"/>
    <w:rsid w:val="00650830"/>
    <w:rsid w:val="00653146"/>
    <w:rsid w:val="00674912"/>
    <w:rsid w:val="00681E6A"/>
    <w:rsid w:val="00682959"/>
    <w:rsid w:val="0068386B"/>
    <w:rsid w:val="00684EAE"/>
    <w:rsid w:val="0068551A"/>
    <w:rsid w:val="00691305"/>
    <w:rsid w:val="006926D1"/>
    <w:rsid w:val="0069283D"/>
    <w:rsid w:val="00692CC8"/>
    <w:rsid w:val="00696A68"/>
    <w:rsid w:val="00697587"/>
    <w:rsid w:val="006A0657"/>
    <w:rsid w:val="006A0C12"/>
    <w:rsid w:val="006A1838"/>
    <w:rsid w:val="006A18D2"/>
    <w:rsid w:val="006B136B"/>
    <w:rsid w:val="006B1593"/>
    <w:rsid w:val="006B67F0"/>
    <w:rsid w:val="006D0709"/>
    <w:rsid w:val="006D1C28"/>
    <w:rsid w:val="006E014A"/>
    <w:rsid w:val="006E1BF6"/>
    <w:rsid w:val="006E4A98"/>
    <w:rsid w:val="006F098A"/>
    <w:rsid w:val="006F0F5D"/>
    <w:rsid w:val="006F6ABB"/>
    <w:rsid w:val="007025E9"/>
    <w:rsid w:val="0071020C"/>
    <w:rsid w:val="007115AC"/>
    <w:rsid w:val="007140C2"/>
    <w:rsid w:val="00717CB0"/>
    <w:rsid w:val="00721556"/>
    <w:rsid w:val="00725866"/>
    <w:rsid w:val="007268C7"/>
    <w:rsid w:val="007369D4"/>
    <w:rsid w:val="007401D2"/>
    <w:rsid w:val="0074169C"/>
    <w:rsid w:val="00744E91"/>
    <w:rsid w:val="00751E3C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200C9"/>
    <w:rsid w:val="008301D6"/>
    <w:rsid w:val="00830A16"/>
    <w:rsid w:val="008311BC"/>
    <w:rsid w:val="00836E0E"/>
    <w:rsid w:val="008526C0"/>
    <w:rsid w:val="00852C84"/>
    <w:rsid w:val="00860A6F"/>
    <w:rsid w:val="00865D1A"/>
    <w:rsid w:val="00871733"/>
    <w:rsid w:val="00882AF5"/>
    <w:rsid w:val="00886FC4"/>
    <w:rsid w:val="00896566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C2CAC"/>
    <w:rsid w:val="008D25E5"/>
    <w:rsid w:val="008D317F"/>
    <w:rsid w:val="008F3EC0"/>
    <w:rsid w:val="009005E4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E0F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4819"/>
    <w:rsid w:val="009A55BB"/>
    <w:rsid w:val="009B2DD5"/>
    <w:rsid w:val="009C0DFF"/>
    <w:rsid w:val="009C2854"/>
    <w:rsid w:val="009C494D"/>
    <w:rsid w:val="009C4ECA"/>
    <w:rsid w:val="009C5FE1"/>
    <w:rsid w:val="009C6D69"/>
    <w:rsid w:val="009D09E4"/>
    <w:rsid w:val="009D3657"/>
    <w:rsid w:val="009D69E0"/>
    <w:rsid w:val="009E74A4"/>
    <w:rsid w:val="00A061AA"/>
    <w:rsid w:val="00A14673"/>
    <w:rsid w:val="00A2428B"/>
    <w:rsid w:val="00A242EE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7B00"/>
    <w:rsid w:val="00A60AFB"/>
    <w:rsid w:val="00A6120F"/>
    <w:rsid w:val="00A75458"/>
    <w:rsid w:val="00A75EC1"/>
    <w:rsid w:val="00A764D6"/>
    <w:rsid w:val="00A76B63"/>
    <w:rsid w:val="00A81B50"/>
    <w:rsid w:val="00A8591A"/>
    <w:rsid w:val="00A8728B"/>
    <w:rsid w:val="00A93A25"/>
    <w:rsid w:val="00A9697E"/>
    <w:rsid w:val="00A97F6E"/>
    <w:rsid w:val="00AA09AE"/>
    <w:rsid w:val="00AA4472"/>
    <w:rsid w:val="00AB0B54"/>
    <w:rsid w:val="00AC2B52"/>
    <w:rsid w:val="00AC33B1"/>
    <w:rsid w:val="00AD1BAC"/>
    <w:rsid w:val="00AD40A4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16EA9"/>
    <w:rsid w:val="00B2126E"/>
    <w:rsid w:val="00B2237E"/>
    <w:rsid w:val="00B226DA"/>
    <w:rsid w:val="00B35901"/>
    <w:rsid w:val="00B363E5"/>
    <w:rsid w:val="00B36CD5"/>
    <w:rsid w:val="00B50D9A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6E18"/>
    <w:rsid w:val="00B8752F"/>
    <w:rsid w:val="00B87F9C"/>
    <w:rsid w:val="00B97BFF"/>
    <w:rsid w:val="00BA3A4F"/>
    <w:rsid w:val="00BA4FC8"/>
    <w:rsid w:val="00BA572D"/>
    <w:rsid w:val="00BB2EF0"/>
    <w:rsid w:val="00BB46D7"/>
    <w:rsid w:val="00BB4BBB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4904"/>
    <w:rsid w:val="00C45066"/>
    <w:rsid w:val="00C554B3"/>
    <w:rsid w:val="00C63A46"/>
    <w:rsid w:val="00C72BF1"/>
    <w:rsid w:val="00C72D04"/>
    <w:rsid w:val="00C80AD6"/>
    <w:rsid w:val="00C80C6A"/>
    <w:rsid w:val="00C80E4B"/>
    <w:rsid w:val="00C810E5"/>
    <w:rsid w:val="00C826CD"/>
    <w:rsid w:val="00C862A0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7D2A"/>
    <w:rsid w:val="00CD0E22"/>
    <w:rsid w:val="00CD219E"/>
    <w:rsid w:val="00CD4E0E"/>
    <w:rsid w:val="00CD5185"/>
    <w:rsid w:val="00CE3D86"/>
    <w:rsid w:val="00CF41A6"/>
    <w:rsid w:val="00CF575C"/>
    <w:rsid w:val="00CF7446"/>
    <w:rsid w:val="00D02946"/>
    <w:rsid w:val="00D06299"/>
    <w:rsid w:val="00D10717"/>
    <w:rsid w:val="00D10ACF"/>
    <w:rsid w:val="00D11784"/>
    <w:rsid w:val="00D132EC"/>
    <w:rsid w:val="00D14901"/>
    <w:rsid w:val="00D214F4"/>
    <w:rsid w:val="00D2440F"/>
    <w:rsid w:val="00D33282"/>
    <w:rsid w:val="00D415D6"/>
    <w:rsid w:val="00D44E2B"/>
    <w:rsid w:val="00D460D5"/>
    <w:rsid w:val="00D47ABA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87BFE"/>
    <w:rsid w:val="00D947C6"/>
    <w:rsid w:val="00D9744A"/>
    <w:rsid w:val="00DA5F66"/>
    <w:rsid w:val="00DA64F6"/>
    <w:rsid w:val="00DB015F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635E"/>
    <w:rsid w:val="00E0179D"/>
    <w:rsid w:val="00E02115"/>
    <w:rsid w:val="00E106C1"/>
    <w:rsid w:val="00E1254A"/>
    <w:rsid w:val="00E1589B"/>
    <w:rsid w:val="00E16800"/>
    <w:rsid w:val="00E171FA"/>
    <w:rsid w:val="00E224B6"/>
    <w:rsid w:val="00E225CF"/>
    <w:rsid w:val="00E2455A"/>
    <w:rsid w:val="00E25AE0"/>
    <w:rsid w:val="00E263AD"/>
    <w:rsid w:val="00E27F48"/>
    <w:rsid w:val="00E357AC"/>
    <w:rsid w:val="00E4615C"/>
    <w:rsid w:val="00E477D6"/>
    <w:rsid w:val="00E56D3C"/>
    <w:rsid w:val="00E65884"/>
    <w:rsid w:val="00E706C2"/>
    <w:rsid w:val="00E77347"/>
    <w:rsid w:val="00E90505"/>
    <w:rsid w:val="00E91961"/>
    <w:rsid w:val="00E95443"/>
    <w:rsid w:val="00EA0B61"/>
    <w:rsid w:val="00EA3B4F"/>
    <w:rsid w:val="00EA6183"/>
    <w:rsid w:val="00EA72A2"/>
    <w:rsid w:val="00EB2C7A"/>
    <w:rsid w:val="00EB34F0"/>
    <w:rsid w:val="00EC0DF2"/>
    <w:rsid w:val="00ED0C06"/>
    <w:rsid w:val="00ED758C"/>
    <w:rsid w:val="00ED7F4B"/>
    <w:rsid w:val="00EE393E"/>
    <w:rsid w:val="00EF362E"/>
    <w:rsid w:val="00EF4892"/>
    <w:rsid w:val="00EF683A"/>
    <w:rsid w:val="00EF72D9"/>
    <w:rsid w:val="00F01E06"/>
    <w:rsid w:val="00F04FD2"/>
    <w:rsid w:val="00F0629C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0044"/>
    <w:rsid w:val="00F51830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B91"/>
    <w:rsid w:val="00F76F29"/>
    <w:rsid w:val="00F779F2"/>
    <w:rsid w:val="00F77D96"/>
    <w:rsid w:val="00F831B0"/>
    <w:rsid w:val="00F91019"/>
    <w:rsid w:val="00F91382"/>
    <w:rsid w:val="00F914C2"/>
    <w:rsid w:val="00F94131"/>
    <w:rsid w:val="00FA0A08"/>
    <w:rsid w:val="00FA1DB1"/>
    <w:rsid w:val="00FA4DE8"/>
    <w:rsid w:val="00FA596A"/>
    <w:rsid w:val="00FB0915"/>
    <w:rsid w:val="00FB1ED2"/>
    <w:rsid w:val="00FB2D37"/>
    <w:rsid w:val="00FB3A46"/>
    <w:rsid w:val="00FB40F4"/>
    <w:rsid w:val="00FC0B3D"/>
    <w:rsid w:val="00FC2D97"/>
    <w:rsid w:val="00FC48EC"/>
    <w:rsid w:val="00FC6E99"/>
    <w:rsid w:val="00FD113E"/>
    <w:rsid w:val="00FD3EEC"/>
    <w:rsid w:val="00FE2213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AA44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447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AA4472"/>
  </w:style>
  <w:style w:type="paragraph" w:styleId="Pedmtkomente">
    <w:name w:val="annotation subject"/>
    <w:basedOn w:val="Textkomente"/>
    <w:next w:val="Textkomente"/>
    <w:link w:val="PedmtkomenteChar"/>
    <w:rsid w:val="00AA4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4472"/>
    <w:rPr>
      <w:b/>
      <w:bCs/>
    </w:rPr>
  </w:style>
  <w:style w:type="paragraph" w:styleId="Textbubliny">
    <w:name w:val="Balloon Text"/>
    <w:basedOn w:val="Normln"/>
    <w:link w:val="TextbublinyChar"/>
    <w:rsid w:val="00AA4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AA44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447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AA4472"/>
  </w:style>
  <w:style w:type="paragraph" w:styleId="Pedmtkomente">
    <w:name w:val="annotation subject"/>
    <w:basedOn w:val="Textkomente"/>
    <w:next w:val="Textkomente"/>
    <w:link w:val="PedmtkomenteChar"/>
    <w:rsid w:val="00AA4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4472"/>
    <w:rPr>
      <w:b/>
      <w:bCs/>
    </w:rPr>
  </w:style>
  <w:style w:type="paragraph" w:styleId="Textbubliny">
    <w:name w:val="Balloon Text"/>
    <w:basedOn w:val="Normln"/>
    <w:link w:val="TextbublinyChar"/>
    <w:rsid w:val="00AA4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46E8-EC29-4055-8551-38128E2C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2152</Words>
  <Characters>11826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schreiberova</cp:lastModifiedBy>
  <cp:revision>2</cp:revision>
  <cp:lastPrinted>2011-09-05T06:41:00Z</cp:lastPrinted>
  <dcterms:created xsi:type="dcterms:W3CDTF">2013-09-06T06:10:00Z</dcterms:created>
  <dcterms:modified xsi:type="dcterms:W3CDTF">2013-09-06T06:10:00Z</dcterms:modified>
</cp:coreProperties>
</file>