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tblpY="603"/>
        <w:tblW w:w="0" w:type="auto"/>
        <w:tblLook w:val="04A0" w:firstRow="1" w:lastRow="0" w:firstColumn="1" w:lastColumn="0" w:noHBand="0" w:noVBand="1"/>
      </w:tblPr>
      <w:tblGrid>
        <w:gridCol w:w="2365"/>
        <w:gridCol w:w="862"/>
        <w:gridCol w:w="2551"/>
        <w:gridCol w:w="993"/>
        <w:gridCol w:w="2551"/>
        <w:gridCol w:w="992"/>
        <w:gridCol w:w="2977"/>
      </w:tblGrid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4C7D16">
              <w:rPr>
                <w:b/>
                <w:sz w:val="24"/>
              </w:rPr>
              <w:t>PZP Tvrdonice</w:t>
            </w:r>
          </w:p>
          <w:p w:rsidR="00BE7A43" w:rsidRPr="004C7D16" w:rsidRDefault="00BE7A43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- 31.7.)</w:t>
            </w:r>
          </w:p>
        </w:tc>
        <w:tc>
          <w:tcPr>
            <w:tcW w:w="34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2015</w:t>
            </w: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AD6259">
            <w:pPr>
              <w:jc w:val="center"/>
              <w:rPr>
                <w:b/>
              </w:rPr>
            </w:pPr>
            <w:r w:rsidRPr="004C7D16">
              <w:rPr>
                <w:b/>
              </w:rPr>
              <w:t>2016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2017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Pr="00BE7A43" w:rsidRDefault="00BE7A43" w:rsidP="00BE7A4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1,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Hr-114 -provozní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Pr="009502AE" w:rsidRDefault="00BE7A43" w:rsidP="00BE7A43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7,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FC5656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 34 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Hr-5 </w:t>
            </w:r>
            <w:r>
              <w:rPr>
                <w:rFonts w:ascii="Calibri" w:hAnsi="Calibri"/>
                <w:sz w:val="18"/>
                <w:szCs w:val="18"/>
              </w:rPr>
              <w:t>– pozorovací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Z-15 - provozní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Z-24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Hr-27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Z-21 - provozní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Z-19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Hr-153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Z-22 -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A43" w:rsidRPr="009502AE" w:rsidRDefault="002A137D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8,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Z-25 – pozorovací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 60 – pozorovací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Hr-179 -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FC5656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Hr-26 – pozorovací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15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Hr-105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 23 -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Z-28 – pozorovací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Hr-85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Hr-90 – provozní</w:t>
            </w:r>
          </w:p>
        </w:tc>
      </w:tr>
      <w:tr w:rsidR="009502AE" w:rsidTr="00D42059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D. Dunajovice</w:t>
            </w:r>
          </w:p>
          <w:p w:rsidR="00BE7A43" w:rsidRPr="004C7D16" w:rsidRDefault="002A137D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</w:t>
            </w:r>
            <w:r w:rsidR="00BE7A43">
              <w:rPr>
                <w:b/>
              </w:rPr>
              <w:t>.7.)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38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8 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16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6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49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12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32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7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52 – provozní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502AE" w:rsidRPr="00BE7A43" w:rsidRDefault="009502AE" w:rsidP="00BE7A4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4,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58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35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30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5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41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7281B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14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7281B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Lobodice</w:t>
            </w:r>
          </w:p>
          <w:p w:rsidR="00BE7A43" w:rsidRPr="004C7D16" w:rsidRDefault="00BE7A43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(1.4. - 15.6.)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23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11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28 – provozní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17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29 </w:t>
            </w:r>
            <w:r>
              <w:rPr>
                <w:rFonts w:ascii="Calibri" w:hAnsi="Calibri"/>
                <w:sz w:val="18"/>
                <w:szCs w:val="18"/>
              </w:rPr>
              <w:t>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22 – pozorovací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30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56 </w:t>
            </w:r>
            <w:r>
              <w:rPr>
                <w:rFonts w:ascii="Calibri" w:hAnsi="Calibri"/>
                <w:sz w:val="18"/>
                <w:szCs w:val="18"/>
              </w:rPr>
              <w:t>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7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57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02AE" w:rsidRDefault="009502AE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Štramberk</w:t>
            </w:r>
          </w:p>
          <w:p w:rsidR="009502AE" w:rsidRPr="004C7D16" w:rsidRDefault="009502AE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502AE" w:rsidRDefault="009502AE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24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Pr="004C7D16" w:rsidRDefault="009502AE" w:rsidP="00693AAD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Pr="004C7D16" w:rsidRDefault="009502AE" w:rsidP="00693AAD">
            <w:pPr>
              <w:jc w:val="center"/>
              <w:rPr>
                <w:b/>
              </w:rPr>
            </w:pPr>
          </w:p>
        </w:tc>
      </w:tr>
      <w:tr w:rsidR="009502AE" w:rsidTr="009502AE">
        <w:trPr>
          <w:trHeight w:val="77"/>
        </w:trPr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159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162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163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02AE" w:rsidRDefault="009502AE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>PZP T</w:t>
            </w:r>
            <w:r>
              <w:rPr>
                <w:b/>
                <w:sz w:val="24"/>
              </w:rPr>
              <w:t>řanovice</w:t>
            </w:r>
          </w:p>
          <w:p w:rsidR="009502AE" w:rsidRPr="004C7D16" w:rsidRDefault="009502AE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13,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7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18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Zu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144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9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5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</w:tr>
      <w:tr w:rsidR="009502AE" w:rsidTr="00E32FCF">
        <w:trPr>
          <w:trHeight w:val="449"/>
        </w:trPr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E7A43" w:rsidTr="00BE7A43">
        <w:trPr>
          <w:trHeight w:val="57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Spolu pro daný rok: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∑ 19 sond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∑ 20 sond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4817B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18"/>
              </w:rPr>
              <w:t>∑ 14</w:t>
            </w:r>
            <w:r w:rsidR="00BE7A43"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sond</w:t>
            </w:r>
          </w:p>
        </w:tc>
      </w:tr>
    </w:tbl>
    <w:p w:rsidR="00EE74F0" w:rsidRPr="00693AAD" w:rsidRDefault="009502AE" w:rsidP="00693AA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Části veřejné zakázky POS 2015-2017</w:t>
      </w:r>
    </w:p>
    <w:sectPr w:rsidR="00EE74F0" w:rsidRPr="00693AAD" w:rsidSect="004C7D1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21" w:rsidRDefault="00146621" w:rsidP="004C7D16">
      <w:r>
        <w:separator/>
      </w:r>
    </w:p>
  </w:endnote>
  <w:endnote w:type="continuationSeparator" w:id="0">
    <w:p w:rsidR="00146621" w:rsidRDefault="00146621" w:rsidP="004C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21" w:rsidRDefault="00146621" w:rsidP="004C7D16">
      <w:r>
        <w:separator/>
      </w:r>
    </w:p>
  </w:footnote>
  <w:footnote w:type="continuationSeparator" w:id="0">
    <w:p w:rsidR="00146621" w:rsidRDefault="00146621" w:rsidP="004C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D" w:rsidRPr="009502AE" w:rsidRDefault="00693AAD">
    <w:pPr>
      <w:pStyle w:val="Zhlav"/>
      <w:rPr>
        <w:rFonts w:ascii="Arial" w:hAnsi="Arial" w:cs="Arial"/>
        <w:b/>
        <w:sz w:val="36"/>
        <w:szCs w:val="36"/>
      </w:rPr>
    </w:pPr>
    <w:r w:rsidRPr="009502AE">
      <w:rPr>
        <w:rFonts w:ascii="Arial" w:hAnsi="Arial" w:cs="Arial"/>
        <w:b/>
        <w:sz w:val="36"/>
        <w:szCs w:val="36"/>
      </w:rPr>
      <w:t xml:space="preserve">Příloha č. </w:t>
    </w:r>
    <w:r w:rsidR="009502AE" w:rsidRPr="009502AE">
      <w:rPr>
        <w:rFonts w:ascii="Arial" w:hAnsi="Arial" w:cs="Arial"/>
        <w:b/>
        <w:sz w:val="36"/>
        <w:szCs w:val="3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6"/>
    <w:rsid w:val="0003704D"/>
    <w:rsid w:val="00044AE5"/>
    <w:rsid w:val="000C3501"/>
    <w:rsid w:val="00146621"/>
    <w:rsid w:val="002815AF"/>
    <w:rsid w:val="002A137D"/>
    <w:rsid w:val="002B0379"/>
    <w:rsid w:val="004817B3"/>
    <w:rsid w:val="004C7D16"/>
    <w:rsid w:val="005B3C3D"/>
    <w:rsid w:val="00693AAD"/>
    <w:rsid w:val="0073599C"/>
    <w:rsid w:val="009502AE"/>
    <w:rsid w:val="00AD6259"/>
    <w:rsid w:val="00BE7A43"/>
    <w:rsid w:val="00DC5716"/>
    <w:rsid w:val="00E2392E"/>
    <w:rsid w:val="00EE74F0"/>
    <w:rsid w:val="00FC5656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9C48-3EEB-45C0-8607-9AF24373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Petrovičová Šárka</cp:lastModifiedBy>
  <cp:revision>2</cp:revision>
  <dcterms:created xsi:type="dcterms:W3CDTF">2014-07-31T13:06:00Z</dcterms:created>
  <dcterms:modified xsi:type="dcterms:W3CDTF">2014-07-31T13:06:00Z</dcterms:modified>
</cp:coreProperties>
</file>