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6F7" w:rsidRPr="00CF3FD7" w:rsidRDefault="00CF3FD7" w:rsidP="005D5F2E">
      <w:pPr>
        <w:pStyle w:val="Zkladntext"/>
        <w:rPr>
          <w:b/>
        </w:rPr>
      </w:pPr>
      <w:r w:rsidRPr="00CF3FD7">
        <w:rPr>
          <w:b/>
        </w:rPr>
        <w:t>Lokalita</w:t>
      </w:r>
      <w:r w:rsidR="006816F7" w:rsidRPr="00CF3FD7">
        <w:rPr>
          <w:b/>
        </w:rPr>
        <w:t>:</w:t>
      </w:r>
      <w:r w:rsidR="008401AC" w:rsidRPr="00CF3FD7">
        <w:rPr>
          <w:b/>
        </w:rPr>
        <w:tab/>
      </w:r>
      <w:r w:rsidR="006816F7" w:rsidRPr="00CF3FD7">
        <w:rPr>
          <w:b/>
        </w:rPr>
        <w:t xml:space="preserve">PZP </w:t>
      </w:r>
      <w:r w:rsidR="00A73559" w:rsidRPr="00CF3FD7">
        <w:rPr>
          <w:b/>
        </w:rPr>
        <w:t>Tvrdonice</w:t>
      </w:r>
    </w:p>
    <w:p w:rsidR="007A265D" w:rsidRDefault="007A265D" w:rsidP="005D5F2E"/>
    <w:p w:rsidR="00C0053A" w:rsidRPr="000D262D" w:rsidRDefault="000D262D" w:rsidP="005D5F2E">
      <w:pPr>
        <w:rPr>
          <w:b/>
          <w:sz w:val="40"/>
          <w:szCs w:val="40"/>
          <w:u w:val="single"/>
        </w:rPr>
      </w:pPr>
      <w:r w:rsidRPr="000D262D">
        <w:rPr>
          <w:b/>
          <w:sz w:val="40"/>
          <w:szCs w:val="40"/>
          <w:u w:val="single"/>
        </w:rPr>
        <w:t>Sonda Z 23</w:t>
      </w:r>
    </w:p>
    <w:p w:rsidR="00C0053A" w:rsidRDefault="00C0053A" w:rsidP="005D5F2E"/>
    <w:p w:rsidR="00C0053A" w:rsidRDefault="00C0053A" w:rsidP="00CF3FD7">
      <w:pPr>
        <w:pStyle w:val="Nadpis1"/>
        <w:numPr>
          <w:ilvl w:val="0"/>
          <w:numId w:val="0"/>
        </w:numPr>
        <w:ind w:left="432" w:hanging="432"/>
      </w:pPr>
      <w:r w:rsidRPr="007E6E96">
        <w:t xml:space="preserve">Geologicko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6A767A">
        <w:t xml:space="preserve"> Z 23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>Provozní sond</w:t>
      </w:r>
      <w:r w:rsidR="00EE7B35">
        <w:t>a</w:t>
      </w:r>
      <w:r w:rsidR="005A0CD4">
        <w:t>:</w:t>
      </w:r>
      <w:r w:rsidR="001F5AC6">
        <w:t xml:space="preserve"> </w:t>
      </w:r>
      <w:r>
        <w:t>vtlačně</w:t>
      </w:r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BE71E3" w:rsidRDefault="00BE71E3" w:rsidP="00BE71E3"/>
    <w:p w:rsidR="00BE71E3" w:rsidRPr="00BE71E3" w:rsidRDefault="00BE71E3" w:rsidP="00BE71E3">
      <w:r>
        <w:t>12.</w:t>
      </w:r>
      <w:r w:rsidR="001F5AC6">
        <w:t xml:space="preserve"> </w:t>
      </w:r>
      <w:r>
        <w:t>-</w:t>
      </w:r>
      <w:r w:rsidR="001F5AC6">
        <w:t xml:space="preserve"> </w:t>
      </w:r>
      <w:r>
        <w:t>14. sarmat</w:t>
      </w:r>
    </w:p>
    <w:p w:rsidR="000D262D" w:rsidRPr="000D262D" w:rsidRDefault="000D262D" w:rsidP="000D262D"/>
    <w:p w:rsidR="00C0053A" w:rsidRDefault="00C0053A" w:rsidP="005D5F2E">
      <w:pPr>
        <w:pStyle w:val="Nadpis2"/>
      </w:pPr>
      <w:r w:rsidRPr="0008039E">
        <w:t xml:space="preserve">Technický </w:t>
      </w:r>
      <w:r w:rsidR="00E07139">
        <w:t xml:space="preserve">stav sondy </w:t>
      </w:r>
      <w:r w:rsidR="00E07139" w:rsidRPr="00EE037E">
        <w:t>Konstrukce sondy, údaje o pažení a cementaci pažnicových kolon</w:t>
      </w:r>
      <w:r w:rsidR="00E07139">
        <w:t xml:space="preserve"> </w:t>
      </w:r>
    </w:p>
    <w:p w:rsidR="00342F2F" w:rsidRDefault="00342F2F" w:rsidP="00342F2F"/>
    <w:p w:rsidR="00342F2F" w:rsidRDefault="001F5AC6" w:rsidP="005D5F2E">
      <w:r>
        <w:t>Viz příloha č. 1 (Schéma vystrojení)</w:t>
      </w:r>
    </w:p>
    <w:p w:rsidR="00342F2F" w:rsidRDefault="00342F2F"/>
    <w:p w:rsidR="00C0053A" w:rsidRDefault="00C0053A" w:rsidP="005D5F2E">
      <w:pPr>
        <w:pStyle w:val="Nadpis2"/>
      </w:pPr>
      <w:r w:rsidRPr="00EE037E">
        <w:t>Konstrukce sondy, údaje o pažení a cementaci pažnicových kolon:</w:t>
      </w:r>
    </w:p>
    <w:p w:rsidR="000F256D" w:rsidRDefault="000F256D" w:rsidP="000F256D"/>
    <w:p w:rsidR="000F256D" w:rsidRPr="000F256D" w:rsidRDefault="001F5AC6" w:rsidP="000F256D">
      <w:r>
        <w:t>Viz příloha č. 1 (Schéma vystrojení</w:t>
      </w:r>
      <w:r w:rsidR="00160212">
        <w:t>)</w:t>
      </w:r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1F5AC6" w:rsidP="000F256D">
      <w:r>
        <w:t>Sonda je v současné době stupačkovou kolonou průchodná do hloubky cca 1210,6 m (+/- 0,3 m), kde se nachází uvízlá zátka, viz příloha č. 1 (Schéma vystrojení).</w:t>
      </w:r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 xml:space="preserve">Předpokládá se tlak maximálně </w:t>
      </w:r>
      <w:r w:rsidR="00160212">
        <w:t>10% nad hydrostatický</w:t>
      </w:r>
      <w:r>
        <w:t>. Bude upřesněno geologem PZP.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1F5AC6" w:rsidP="005D5F2E">
      <w:r>
        <w:t>Viz příloha č. 1 (Schéma vystrojení)</w:t>
      </w:r>
    </w:p>
    <w:p w:rsidR="00EE7B35" w:rsidRDefault="00EE7B35" w:rsidP="005D5F2E"/>
    <w:p w:rsidR="00C0053A" w:rsidRDefault="00C0053A" w:rsidP="005D5F2E">
      <w:pPr>
        <w:pStyle w:val="Nadpis2"/>
      </w:pPr>
      <w:r w:rsidRPr="00B30E53">
        <w:t xml:space="preserve">Současné otevření zásobníkového obzoru </w:t>
      </w:r>
      <w:r w:rsidR="003349AE">
        <w:t>–</w:t>
      </w:r>
      <w:r w:rsidRPr="00B30E53">
        <w:t xml:space="preserve"> perforace:</w:t>
      </w:r>
    </w:p>
    <w:p w:rsidR="00BE71E3" w:rsidRPr="00BE71E3" w:rsidRDefault="00BE71E3" w:rsidP="00BE71E3"/>
    <w:p w:rsidR="00BE71E3" w:rsidRDefault="003349AE" w:rsidP="00136792">
      <w:r>
        <w:t>Perforace v int.</w:t>
      </w:r>
      <w:r w:rsidR="00BE71E3">
        <w:t>1262,15</w:t>
      </w:r>
      <w:r w:rsidR="00CF3FD7">
        <w:t xml:space="preserve"> </w:t>
      </w:r>
      <w:r w:rsidR="00BE71E3">
        <w:t>-</w:t>
      </w:r>
      <w:r w:rsidR="00CF3FD7">
        <w:t xml:space="preserve"> </w:t>
      </w:r>
      <w:r w:rsidR="00BE71E3">
        <w:t>1250,35 m</w:t>
      </w:r>
    </w:p>
    <w:p w:rsidR="004A3747" w:rsidRPr="00136792" w:rsidRDefault="004A3747" w:rsidP="00136792"/>
    <w:p w:rsidR="00C0053A" w:rsidRDefault="00CF3FD7" w:rsidP="005D5F2E">
      <w:pPr>
        <w:pStyle w:val="Nadpis2"/>
      </w:pPr>
      <w:r>
        <w:t>Vystrojení ústí sondy</w:t>
      </w:r>
      <w:r w:rsidR="00C0053A" w:rsidRPr="00B30E53">
        <w:t>:</w:t>
      </w:r>
    </w:p>
    <w:p w:rsidR="00BE71E3" w:rsidRPr="00BE71E3" w:rsidRDefault="00BE71E3" w:rsidP="00BE71E3"/>
    <w:p w:rsidR="00B61A0D" w:rsidRDefault="002356FA" w:rsidP="005D5F2E">
      <w:r>
        <w:t>Viz příloha č. 2 (Produkční kříž Z – 23) + příloha č. 3 (Foto PK)</w:t>
      </w:r>
    </w:p>
    <w:p w:rsidR="00514068" w:rsidRDefault="00514068" w:rsidP="005D5F2E"/>
    <w:p w:rsidR="00833E3A" w:rsidRDefault="00833E3A" w:rsidP="005D5F2E"/>
    <w:p w:rsidR="00833E3A" w:rsidRDefault="00833E3A" w:rsidP="005D5F2E"/>
    <w:p w:rsidR="00833E3A" w:rsidRPr="008A0A4A" w:rsidRDefault="00833E3A" w:rsidP="005D5F2E"/>
    <w:p w:rsidR="00C0053A" w:rsidRDefault="00C0053A" w:rsidP="005D5F2E">
      <w:pPr>
        <w:pStyle w:val="Nadpis2"/>
      </w:pPr>
      <w:r w:rsidRPr="00B30E53">
        <w:lastRenderedPageBreak/>
        <w:t>Požadované práce: </w:t>
      </w:r>
    </w:p>
    <w:p w:rsidR="00160212" w:rsidRPr="00160212" w:rsidRDefault="00160212" w:rsidP="00160212"/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7054"/>
        <w:gridCol w:w="1268"/>
        <w:gridCol w:w="1312"/>
      </w:tblGrid>
      <w:tr w:rsidR="00BF3DD4" w:rsidRPr="0029443F" w:rsidTr="00833E3A">
        <w:trPr>
          <w:trHeight w:val="159"/>
        </w:trPr>
        <w:tc>
          <w:tcPr>
            <w:tcW w:w="7054" w:type="dxa"/>
            <w:vMerge w:val="restart"/>
            <w:noWrap/>
            <w:vAlign w:val="center"/>
            <w:hideMark/>
          </w:tcPr>
          <w:p w:rsidR="00BF3DD4" w:rsidRPr="00650BC5" w:rsidRDefault="00BF3DD4" w:rsidP="00CF5BF4">
            <w:r w:rsidRPr="00650BC5">
              <w:t> </w:t>
            </w:r>
          </w:p>
          <w:p w:rsidR="00BF3DD4" w:rsidRDefault="00BF3DD4" w:rsidP="00CF5BF4">
            <w:pPr>
              <w:rPr>
                <w:b/>
              </w:rPr>
            </w:pPr>
            <w:r w:rsidRPr="0029443F">
              <w:rPr>
                <w:b/>
              </w:rPr>
              <w:t>Popis požadovaných prací</w:t>
            </w:r>
          </w:p>
          <w:p w:rsidR="00160212" w:rsidRPr="00650BC5" w:rsidRDefault="00160212" w:rsidP="00CF5BF4"/>
        </w:tc>
        <w:tc>
          <w:tcPr>
            <w:tcW w:w="2580" w:type="dxa"/>
            <w:gridSpan w:val="2"/>
            <w:hideMark/>
          </w:tcPr>
          <w:p w:rsidR="00BF3DD4" w:rsidRPr="0029443F" w:rsidRDefault="00BF3DD4" w:rsidP="00CF5BF4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BF3DD4" w:rsidRPr="0029443F" w:rsidTr="00833E3A">
        <w:trPr>
          <w:trHeight w:val="209"/>
        </w:trPr>
        <w:tc>
          <w:tcPr>
            <w:tcW w:w="7054" w:type="dxa"/>
            <w:vMerge/>
            <w:noWrap/>
            <w:vAlign w:val="center"/>
            <w:hideMark/>
          </w:tcPr>
          <w:p w:rsidR="00BF3DD4" w:rsidRPr="0029443F" w:rsidRDefault="00BF3DD4" w:rsidP="00CF5BF4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BF3DD4" w:rsidRPr="0029443F" w:rsidRDefault="00BF3DD4" w:rsidP="00CF5BF4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312" w:type="dxa"/>
            <w:vAlign w:val="center"/>
            <w:hideMark/>
          </w:tcPr>
          <w:p w:rsidR="00BF3DD4" w:rsidRPr="0029443F" w:rsidRDefault="00BF3DD4" w:rsidP="00CF5BF4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BF3DD4" w:rsidRPr="00650BC5" w:rsidTr="00833E3A">
        <w:trPr>
          <w:trHeight w:val="569"/>
        </w:trPr>
        <w:tc>
          <w:tcPr>
            <w:tcW w:w="7054" w:type="dxa"/>
            <w:noWrap/>
            <w:hideMark/>
          </w:tcPr>
          <w:p w:rsidR="00BF3DD4" w:rsidRPr="00650BC5" w:rsidRDefault="00BF3DD4" w:rsidP="00CF5BF4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BF3DD4" w:rsidRPr="00650BC5" w:rsidRDefault="00BF3DD4" w:rsidP="00CF5BF4"/>
        </w:tc>
        <w:tc>
          <w:tcPr>
            <w:tcW w:w="1312" w:type="dxa"/>
            <w:noWrap/>
            <w:hideMark/>
          </w:tcPr>
          <w:p w:rsidR="00BF3DD4" w:rsidRPr="00650BC5" w:rsidRDefault="00BF3DD4" w:rsidP="00CF5BF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BF3DD4" w:rsidRPr="00650BC5" w:rsidTr="00833E3A">
        <w:trPr>
          <w:trHeight w:val="300"/>
        </w:trPr>
        <w:tc>
          <w:tcPr>
            <w:tcW w:w="7054" w:type="dxa"/>
            <w:noWrap/>
            <w:hideMark/>
          </w:tcPr>
          <w:p w:rsidR="00BF3DD4" w:rsidRPr="00650BC5" w:rsidRDefault="00BF3DD4" w:rsidP="00CF5BF4">
            <w:r>
              <w:t xml:space="preserve">Proklepání stupačky 3 ½“ VAGT, nad </w:t>
            </w:r>
            <w:proofErr w:type="spellStart"/>
            <w:r>
              <w:t>pakrem</w:t>
            </w:r>
            <w:proofErr w:type="spellEnd"/>
            <w:r w:rsidR="00160212">
              <w:t xml:space="preserve"> servisem WL</w:t>
            </w:r>
          </w:p>
        </w:tc>
        <w:tc>
          <w:tcPr>
            <w:tcW w:w="1268" w:type="dxa"/>
            <w:noWrap/>
            <w:hideMark/>
          </w:tcPr>
          <w:p w:rsidR="00BF3DD4" w:rsidRPr="00D45A84" w:rsidRDefault="00BF3DD4" w:rsidP="00CF5BF4">
            <w:pPr>
              <w:rPr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  <w:hideMark/>
          </w:tcPr>
          <w:p w:rsidR="00BF3DD4" w:rsidRPr="00650BC5" w:rsidRDefault="00BF3DD4" w:rsidP="00CF5BF4">
            <w:pPr>
              <w:rPr>
                <w:b/>
                <w:bCs/>
              </w:rPr>
            </w:pPr>
          </w:p>
        </w:tc>
      </w:tr>
      <w:tr w:rsidR="00BF3DD4" w:rsidRPr="00650BC5" w:rsidTr="00833E3A">
        <w:trPr>
          <w:trHeight w:val="168"/>
        </w:trPr>
        <w:tc>
          <w:tcPr>
            <w:tcW w:w="7054" w:type="dxa"/>
            <w:noWrap/>
            <w:hideMark/>
          </w:tcPr>
          <w:p w:rsidR="00BF3DD4" w:rsidRPr="00650BC5" w:rsidRDefault="00770534" w:rsidP="00770534">
            <w:r>
              <w:t>Šetrné a b</w:t>
            </w:r>
            <w:r w:rsidR="00BF3DD4" w:rsidRPr="00650BC5">
              <w:t>ezpečn</w:t>
            </w:r>
            <w:r>
              <w:t>é</w:t>
            </w:r>
            <w:r w:rsidR="00BF3DD4" w:rsidRPr="00650BC5">
              <w:t xml:space="preserve"> umrtv</w:t>
            </w:r>
            <w:r>
              <w:t>ení sondy</w:t>
            </w:r>
            <w:r w:rsidR="00BF3DD4" w:rsidRPr="00650BC5">
              <w:t xml:space="preserve"> přes </w:t>
            </w:r>
            <w:r w:rsidR="00BF3DD4">
              <w:t>proklepanou stupačku</w:t>
            </w:r>
            <w:r w:rsidR="0097567F">
              <w:t xml:space="preserve"> (způsob umrtvení musí být předem odsouhlasený zástupci RWE GS)</w:t>
            </w:r>
          </w:p>
        </w:tc>
        <w:tc>
          <w:tcPr>
            <w:tcW w:w="1268" w:type="dxa"/>
            <w:noWrap/>
            <w:hideMark/>
          </w:tcPr>
          <w:p w:rsidR="00BF3DD4" w:rsidRPr="00650BC5" w:rsidRDefault="00BF3DD4" w:rsidP="00CF5BF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  <w:hideMark/>
          </w:tcPr>
          <w:p w:rsidR="00BF3DD4" w:rsidRPr="00650BC5" w:rsidRDefault="00BF3DD4" w:rsidP="00CF5BF4"/>
        </w:tc>
      </w:tr>
      <w:tr w:rsidR="001A7972" w:rsidRPr="00650BC5" w:rsidTr="00833E3A">
        <w:trPr>
          <w:trHeight w:val="168"/>
        </w:trPr>
        <w:tc>
          <w:tcPr>
            <w:tcW w:w="7054" w:type="dxa"/>
            <w:noWrap/>
          </w:tcPr>
          <w:p w:rsidR="001A7972" w:rsidRDefault="001A7972" w:rsidP="00770534">
            <w:r>
              <w:t>Uzavření PPBV</w:t>
            </w:r>
            <w:r w:rsidR="00160212">
              <w:t xml:space="preserve"> odpuštěním tlaku z impulzního potrubí</w:t>
            </w:r>
          </w:p>
        </w:tc>
        <w:tc>
          <w:tcPr>
            <w:tcW w:w="1268" w:type="dxa"/>
            <w:noWrap/>
          </w:tcPr>
          <w:p w:rsidR="001A7972" w:rsidRPr="00650BC5" w:rsidRDefault="001A7972" w:rsidP="00CF5BF4">
            <w:pPr>
              <w:rPr>
                <w:b/>
                <w:bCs/>
              </w:rPr>
            </w:pPr>
          </w:p>
        </w:tc>
        <w:tc>
          <w:tcPr>
            <w:tcW w:w="1312" w:type="dxa"/>
            <w:noWrap/>
          </w:tcPr>
          <w:p w:rsidR="001A7972" w:rsidRPr="00650BC5" w:rsidRDefault="00833E3A" w:rsidP="00CF5BF4">
            <w:r w:rsidRPr="00650BC5">
              <w:rPr>
                <w:b/>
                <w:bCs/>
              </w:rPr>
              <w:t>∆</w:t>
            </w:r>
          </w:p>
        </w:tc>
      </w:tr>
      <w:tr w:rsidR="00160212" w:rsidRPr="00650BC5" w:rsidTr="00833E3A">
        <w:trPr>
          <w:trHeight w:val="168"/>
        </w:trPr>
        <w:tc>
          <w:tcPr>
            <w:tcW w:w="7054" w:type="dxa"/>
            <w:noWrap/>
          </w:tcPr>
          <w:p w:rsidR="00160212" w:rsidRDefault="00160212" w:rsidP="00160212">
            <w:r>
              <w:t>Demontáž vrchní části PK (</w:t>
            </w:r>
            <w:proofErr w:type="spellStart"/>
            <w:r>
              <w:t>Cameron</w:t>
            </w:r>
            <w:proofErr w:type="spellEnd"/>
            <w:r>
              <w:t xml:space="preserve">) a jeho uložení na paletu. PK bude opětovné instalován </w:t>
            </w:r>
          </w:p>
        </w:tc>
        <w:tc>
          <w:tcPr>
            <w:tcW w:w="1268" w:type="dxa"/>
            <w:noWrap/>
          </w:tcPr>
          <w:p w:rsidR="00160212" w:rsidRPr="00650BC5" w:rsidRDefault="00160212" w:rsidP="00CF5BF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160212" w:rsidRPr="00650BC5" w:rsidRDefault="00160212" w:rsidP="00CF5BF4">
            <w:pPr>
              <w:rPr>
                <w:b/>
                <w:bCs/>
              </w:rPr>
            </w:pPr>
          </w:p>
        </w:tc>
      </w:tr>
      <w:tr w:rsidR="00BF3DD4" w:rsidRPr="00650BC5" w:rsidTr="00833E3A">
        <w:trPr>
          <w:trHeight w:val="292"/>
        </w:trPr>
        <w:tc>
          <w:tcPr>
            <w:tcW w:w="7054" w:type="dxa"/>
            <w:noWrap/>
            <w:hideMark/>
          </w:tcPr>
          <w:p w:rsidR="00BF3DD4" w:rsidRPr="00650BC5" w:rsidRDefault="00BF3DD4" w:rsidP="00CF5BF4">
            <w:r>
              <w:t>Montáž BOP</w:t>
            </w:r>
            <w:r w:rsidRPr="00650BC5">
              <w:t>, tlaková a funkční zkouška,</w:t>
            </w:r>
            <w:r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BF3DD4" w:rsidRPr="00650BC5" w:rsidRDefault="00BF3DD4" w:rsidP="00CF5BF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  <w:hideMark/>
          </w:tcPr>
          <w:p w:rsidR="00BF3DD4" w:rsidRPr="00650BC5" w:rsidRDefault="00BF3DD4" w:rsidP="00CF5BF4"/>
        </w:tc>
      </w:tr>
      <w:tr w:rsidR="00BF3DD4" w:rsidRPr="00650BC5" w:rsidTr="00833E3A">
        <w:trPr>
          <w:trHeight w:val="416"/>
        </w:trPr>
        <w:tc>
          <w:tcPr>
            <w:tcW w:w="7054" w:type="dxa"/>
            <w:noWrap/>
            <w:hideMark/>
          </w:tcPr>
          <w:p w:rsidR="00BF3DD4" w:rsidRPr="00650BC5" w:rsidRDefault="00BF3DD4" w:rsidP="00160212">
            <w:r>
              <w:t>Uvolnění závěsu stupaček, odpojení kotvy z pakru, v</w:t>
            </w:r>
            <w:r w:rsidRPr="00650BC5">
              <w:t xml:space="preserve">ytažení </w:t>
            </w:r>
            <w:r>
              <w:t xml:space="preserve">stupaček VAGT </w:t>
            </w:r>
            <w:r w:rsidR="001A7972">
              <w:t>a stávajících prvků vystrojení sondy</w:t>
            </w:r>
            <w:r>
              <w:t xml:space="preserve"> s použitím hydraulického klíče se spodním </w:t>
            </w:r>
            <w:r w:rsidR="001A7972">
              <w:t>držením a „</w:t>
            </w:r>
            <w:proofErr w:type="spellStart"/>
            <w:r w:rsidR="001A7972">
              <w:t>stabbing</w:t>
            </w:r>
            <w:proofErr w:type="spellEnd"/>
            <w:r w:rsidR="001A7972">
              <w:t xml:space="preserve"> </w:t>
            </w:r>
            <w:proofErr w:type="spellStart"/>
            <w:r w:rsidR="001A7972">
              <w:t>guide</w:t>
            </w:r>
            <w:proofErr w:type="spellEnd"/>
            <w:r w:rsidR="001A7972">
              <w:t xml:space="preserve">“ </w:t>
            </w:r>
            <w:r>
              <w:t xml:space="preserve">(PPBV, </w:t>
            </w:r>
            <w:proofErr w:type="spellStart"/>
            <w:r>
              <w:t>control</w:t>
            </w:r>
            <w:proofErr w:type="spellEnd"/>
            <w:r>
              <w:t xml:space="preserve"> line</w:t>
            </w:r>
            <w:r w:rsidR="00083ECD">
              <w:t xml:space="preserve">, </w:t>
            </w:r>
            <w:proofErr w:type="spellStart"/>
            <w:r w:rsidR="00083ECD" w:rsidRPr="00833E3A">
              <w:t>cross-couplings</w:t>
            </w:r>
            <w:proofErr w:type="spellEnd"/>
            <w:r w:rsidR="00083ECD">
              <w:t>)</w:t>
            </w:r>
            <w:r w:rsidR="00160212">
              <w:t xml:space="preserve">. Zavity stupaček očistit, namazat a </w:t>
            </w:r>
            <w:proofErr w:type="spellStart"/>
            <w:r w:rsidR="00160212">
              <w:t>zakrytkovat</w:t>
            </w:r>
            <w:proofErr w:type="spellEnd"/>
            <w:r w:rsidR="00160212">
              <w:t xml:space="preserve"> – původní stupačky budou opětovné použité.</w:t>
            </w:r>
          </w:p>
        </w:tc>
        <w:tc>
          <w:tcPr>
            <w:tcW w:w="1268" w:type="dxa"/>
            <w:noWrap/>
            <w:hideMark/>
          </w:tcPr>
          <w:p w:rsidR="00BF3DD4" w:rsidRPr="00650BC5" w:rsidRDefault="00BF3DD4" w:rsidP="00CF5BF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  <w:hideMark/>
          </w:tcPr>
          <w:p w:rsidR="00083ECD" w:rsidRPr="00083ECD" w:rsidRDefault="00833E3A" w:rsidP="00CF5BF4">
            <w:r>
              <w:t>součinnost</w:t>
            </w:r>
          </w:p>
        </w:tc>
      </w:tr>
      <w:tr w:rsidR="00770534" w:rsidRPr="00650BC5" w:rsidTr="007076A6">
        <w:trPr>
          <w:trHeight w:hRule="exact" w:val="502"/>
        </w:trPr>
        <w:tc>
          <w:tcPr>
            <w:tcW w:w="7054" w:type="dxa"/>
            <w:noWrap/>
          </w:tcPr>
          <w:p w:rsidR="00770534" w:rsidRPr="00650BC5" w:rsidRDefault="00770534" w:rsidP="007076A6">
            <w:r>
              <w:t>Vytažení uvízlé zátky z</w:t>
            </w:r>
            <w:r w:rsidR="00160212">
              <w:t> </w:t>
            </w:r>
            <w:r>
              <w:t xml:space="preserve">přechodu pod </w:t>
            </w:r>
            <w:proofErr w:type="spellStart"/>
            <w:r>
              <w:t>Gravel</w:t>
            </w:r>
            <w:proofErr w:type="spellEnd"/>
            <w:r>
              <w:t xml:space="preserve"> </w:t>
            </w:r>
            <w:proofErr w:type="spellStart"/>
            <w:r>
              <w:t>Pack</w:t>
            </w:r>
            <w:proofErr w:type="spellEnd"/>
            <w:r>
              <w:t xml:space="preserve"> </w:t>
            </w:r>
            <w:proofErr w:type="spellStart"/>
            <w:r>
              <w:t>Extensionem</w:t>
            </w:r>
            <w:proofErr w:type="spellEnd"/>
            <w:r>
              <w:t xml:space="preserve"> pomocí</w:t>
            </w:r>
            <w:r w:rsidR="001A7972">
              <w:t xml:space="preserve"> W/L</w:t>
            </w:r>
            <w:r w:rsidR="007076A6">
              <w:t xml:space="preserve"> servisu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r w:rsidRPr="008A52B0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/>
        </w:tc>
      </w:tr>
      <w:tr w:rsidR="00160212" w:rsidRPr="00650BC5" w:rsidTr="007076A6">
        <w:trPr>
          <w:trHeight w:hRule="exact" w:val="574"/>
        </w:trPr>
        <w:tc>
          <w:tcPr>
            <w:tcW w:w="7054" w:type="dxa"/>
            <w:noWrap/>
          </w:tcPr>
          <w:p w:rsidR="00160212" w:rsidRDefault="00160212" w:rsidP="001A7972">
            <w:r>
              <w:t xml:space="preserve">WL servis na tažení </w:t>
            </w:r>
            <w:r w:rsidR="007076A6">
              <w:t xml:space="preserve">uvízlé </w:t>
            </w:r>
            <w:r>
              <w:t>zátky zajistí zhotovitel</w:t>
            </w:r>
            <w:r w:rsidR="007076A6">
              <w:t xml:space="preserve"> POS</w:t>
            </w:r>
            <w:r>
              <w:t>, před zahájením těchto prací bude vypracován TP</w:t>
            </w:r>
            <w:r w:rsidR="007076A6">
              <w:t xml:space="preserve"> a odsouhlasen objednatelem</w:t>
            </w:r>
          </w:p>
        </w:tc>
        <w:tc>
          <w:tcPr>
            <w:tcW w:w="1268" w:type="dxa"/>
            <w:noWrap/>
          </w:tcPr>
          <w:p w:rsidR="00160212" w:rsidRPr="008A52B0" w:rsidRDefault="007076A6" w:rsidP="00770534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160212" w:rsidRPr="00650BC5" w:rsidRDefault="00160212" w:rsidP="00770534"/>
        </w:tc>
      </w:tr>
      <w:tr w:rsidR="007076A6" w:rsidRPr="00650BC5" w:rsidTr="007076A6">
        <w:trPr>
          <w:trHeight w:hRule="exact" w:val="1127"/>
        </w:trPr>
        <w:tc>
          <w:tcPr>
            <w:tcW w:w="7054" w:type="dxa"/>
            <w:noWrap/>
          </w:tcPr>
          <w:p w:rsidR="007076A6" w:rsidRDefault="007076A6" w:rsidP="001B3F26">
            <w:r>
              <w:t xml:space="preserve">V případě, že W/L servis nebude zátku schopen vytáhnout, pokusit se vytáhnout zátku na vrtných tyčích – za dodržení podmínky, že VT nesmí vjet do </w:t>
            </w:r>
            <w:proofErr w:type="spellStart"/>
            <w:r>
              <w:t>pakru</w:t>
            </w:r>
            <w:proofErr w:type="spellEnd"/>
            <w:r>
              <w:t xml:space="preserve"> (za pomoci prodlouženého vycentrovaného chytacího </w:t>
            </w:r>
            <w:r w:rsidR="001B3F26">
              <w:t>nástroje</w:t>
            </w:r>
            <w:r>
              <w:t xml:space="preserve">), dodavatel musí být na tuto variantu připraven. </w:t>
            </w:r>
          </w:p>
        </w:tc>
        <w:tc>
          <w:tcPr>
            <w:tcW w:w="1268" w:type="dxa"/>
            <w:noWrap/>
          </w:tcPr>
          <w:p w:rsidR="007076A6" w:rsidRPr="008A52B0" w:rsidRDefault="007076A6" w:rsidP="00770534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076A6" w:rsidRPr="00650BC5" w:rsidRDefault="007076A6" w:rsidP="00770534"/>
        </w:tc>
      </w:tr>
      <w:tr w:rsidR="0097567F" w:rsidRPr="00650BC5" w:rsidTr="00833E3A">
        <w:trPr>
          <w:cantSplit/>
        </w:trPr>
        <w:tc>
          <w:tcPr>
            <w:tcW w:w="7054" w:type="dxa"/>
            <w:noWrap/>
          </w:tcPr>
          <w:p w:rsidR="00C43808" w:rsidRPr="00C43808" w:rsidRDefault="0097567F" w:rsidP="00C43808">
            <w:pPr>
              <w:rPr>
                <w:color w:val="FF0000"/>
              </w:rPr>
            </w:pPr>
            <w:r w:rsidRPr="00833E3A">
              <w:t>Ověření průchodností FK do hloubky 126</w:t>
            </w:r>
            <w:r w:rsidR="00083ECD" w:rsidRPr="00833E3A">
              <w:t>6</w:t>
            </w:r>
            <w:r w:rsidRPr="00833E3A">
              <w:t>,</w:t>
            </w:r>
            <w:r w:rsidR="00083ECD" w:rsidRPr="00833E3A">
              <w:t>71</w:t>
            </w:r>
            <w:r w:rsidRPr="00833E3A">
              <w:t xml:space="preserve"> m</w:t>
            </w:r>
            <w:r w:rsidR="00C43808" w:rsidRPr="00833E3A">
              <w:t xml:space="preserve"> – v případě nasednutí - odběr vzorku a rozhodnutí TDO o případn</w:t>
            </w:r>
            <w:bookmarkStart w:id="0" w:name="_GoBack"/>
            <w:bookmarkEnd w:id="0"/>
            <w:r w:rsidR="00C43808" w:rsidRPr="00833E3A">
              <w:t>ém odpláchnutí zátky ve FK.</w:t>
            </w:r>
          </w:p>
        </w:tc>
        <w:tc>
          <w:tcPr>
            <w:tcW w:w="1268" w:type="dxa"/>
            <w:noWrap/>
          </w:tcPr>
          <w:p w:rsidR="0097567F" w:rsidRPr="001A7972" w:rsidRDefault="00083ECD" w:rsidP="00083ECD">
            <w:pPr>
              <w:rPr>
                <w:b/>
                <w:bCs/>
                <w:highlight w:val="yellow"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97567F" w:rsidRPr="001A7972" w:rsidRDefault="0097567F" w:rsidP="00770534">
            <w:pPr>
              <w:rPr>
                <w:highlight w:val="yellow"/>
              </w:rPr>
            </w:pPr>
          </w:p>
        </w:tc>
      </w:tr>
      <w:tr w:rsidR="00770534" w:rsidRPr="00650BC5" w:rsidTr="00833E3A">
        <w:trPr>
          <w:trHeight w:val="545"/>
        </w:trPr>
        <w:tc>
          <w:tcPr>
            <w:tcW w:w="7054" w:type="dxa"/>
            <w:noWrap/>
          </w:tcPr>
          <w:p w:rsidR="00770534" w:rsidRPr="00650BC5" w:rsidRDefault="00770534" w:rsidP="00770534">
            <w:r>
              <w:t>Zapuštění stupačkové kolony VAGT s kontrolovaným dotahem a záznamem, usazovací vsuvkou X a kotvou pakru. Ověření hlavy pakru, vytažení 4-6 ks stupaček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r w:rsidRPr="008A52B0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</w:p>
        </w:tc>
      </w:tr>
      <w:tr w:rsidR="00770534" w:rsidRPr="00650BC5" w:rsidTr="00833E3A">
        <w:trPr>
          <w:trHeight w:val="196"/>
        </w:trPr>
        <w:tc>
          <w:tcPr>
            <w:tcW w:w="7054" w:type="dxa"/>
            <w:noWrap/>
          </w:tcPr>
          <w:p w:rsidR="00770534" w:rsidRDefault="00770534" w:rsidP="007076A6">
            <w:r>
              <w:t>Montáž PPBV</w:t>
            </w:r>
            <w:r w:rsidR="007076A6">
              <w:t xml:space="preserve"> s příslušenstvím, </w:t>
            </w:r>
          </w:p>
        </w:tc>
        <w:tc>
          <w:tcPr>
            <w:tcW w:w="1268" w:type="dxa"/>
            <w:noWrap/>
          </w:tcPr>
          <w:p w:rsidR="00770534" w:rsidRPr="00833E3A" w:rsidRDefault="00833E3A" w:rsidP="00770534">
            <w:r w:rsidRPr="00833E3A">
              <w:rPr>
                <w:bCs/>
              </w:rPr>
              <w:t>součin</w:t>
            </w:r>
            <w:r>
              <w:rPr>
                <w:bCs/>
              </w:rPr>
              <w:t>n</w:t>
            </w:r>
            <w:r w:rsidRPr="00833E3A">
              <w:rPr>
                <w:bCs/>
              </w:rPr>
              <w:t>ost</w:t>
            </w:r>
          </w:p>
        </w:tc>
        <w:tc>
          <w:tcPr>
            <w:tcW w:w="1312" w:type="dxa"/>
            <w:noWrap/>
          </w:tcPr>
          <w:p w:rsidR="00770534" w:rsidRPr="00650BC5" w:rsidRDefault="00833E3A" w:rsidP="00C43808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70534" w:rsidRPr="00650BC5" w:rsidTr="00833E3A">
        <w:trPr>
          <w:trHeight w:val="282"/>
        </w:trPr>
        <w:tc>
          <w:tcPr>
            <w:tcW w:w="7054" w:type="dxa"/>
            <w:noWrap/>
          </w:tcPr>
          <w:p w:rsidR="00770534" w:rsidRDefault="00770534" w:rsidP="00770534">
            <w:r>
              <w:t>Zapuštění stupačkové kolony na</w:t>
            </w:r>
            <w:r w:rsidR="0097567F">
              <w:t>d</w:t>
            </w:r>
            <w:r>
              <w:t xml:space="preserve"> hlavu pakru, výměna pracovní kapaliny za pakrovací</w:t>
            </w:r>
            <w:r w:rsidR="0097567F">
              <w:t xml:space="preserve"> (pokud bude v sondě jiná než pakrovací kapalina)</w:t>
            </w:r>
          </w:p>
        </w:tc>
        <w:tc>
          <w:tcPr>
            <w:tcW w:w="1268" w:type="dxa"/>
            <w:noWrap/>
          </w:tcPr>
          <w:p w:rsidR="00770534" w:rsidRPr="008A52B0" w:rsidRDefault="00770534" w:rsidP="00770534"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</w:p>
        </w:tc>
      </w:tr>
      <w:tr w:rsidR="00770534" w:rsidRPr="00650BC5" w:rsidTr="00833E3A">
        <w:trPr>
          <w:trHeight w:val="278"/>
        </w:trPr>
        <w:tc>
          <w:tcPr>
            <w:tcW w:w="7054" w:type="dxa"/>
            <w:noWrap/>
          </w:tcPr>
          <w:p w:rsidR="00770534" w:rsidRPr="00650BC5" w:rsidRDefault="00770534" w:rsidP="00770534">
            <w:r>
              <w:t xml:space="preserve">Najetí (usazení) s kotvou do pakru 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</w:p>
        </w:tc>
      </w:tr>
      <w:tr w:rsidR="00770534" w:rsidRPr="00650BC5" w:rsidTr="00833E3A">
        <w:trPr>
          <w:trHeight w:val="600"/>
        </w:trPr>
        <w:tc>
          <w:tcPr>
            <w:tcW w:w="7054" w:type="dxa"/>
            <w:noWrap/>
          </w:tcPr>
          <w:p w:rsidR="00770534" w:rsidRPr="00650BC5" w:rsidRDefault="00770534" w:rsidP="00C43808">
            <w:r>
              <w:t>Našroubování těsnícího závěsu stupaček s otvorem pro C</w:t>
            </w:r>
            <w:r w:rsidR="00C43808">
              <w:t>-L</w:t>
            </w:r>
            <w:r>
              <w:t xml:space="preserve"> a usazení stupačkové kolony v PK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/>
        </w:tc>
      </w:tr>
      <w:tr w:rsidR="00770534" w:rsidRPr="00650BC5" w:rsidTr="00833E3A">
        <w:trPr>
          <w:trHeight w:val="236"/>
        </w:trPr>
        <w:tc>
          <w:tcPr>
            <w:tcW w:w="7054" w:type="dxa"/>
            <w:noWrap/>
          </w:tcPr>
          <w:p w:rsidR="00770534" w:rsidRPr="00650BC5" w:rsidRDefault="00770534" w:rsidP="00770534">
            <w:r>
              <w:t>Vhození jednosměrné zátky do XN vsuvky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  <w:r w:rsidRPr="008A52B0"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/>
        </w:tc>
      </w:tr>
      <w:tr w:rsidR="00770534" w:rsidRPr="00650BC5" w:rsidTr="00833E3A">
        <w:trPr>
          <w:trHeight w:val="300"/>
        </w:trPr>
        <w:tc>
          <w:tcPr>
            <w:tcW w:w="7054" w:type="dxa"/>
            <w:noWrap/>
          </w:tcPr>
          <w:p w:rsidR="00770534" w:rsidRPr="00650BC5" w:rsidRDefault="00770534" w:rsidP="00833E3A">
            <w:r>
              <w:t xml:space="preserve">TZ stupaček a 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</w:p>
        </w:tc>
      </w:tr>
      <w:tr w:rsidR="00770534" w:rsidRPr="00650BC5" w:rsidTr="00833E3A">
        <w:trPr>
          <w:trHeight w:val="350"/>
        </w:trPr>
        <w:tc>
          <w:tcPr>
            <w:tcW w:w="7054" w:type="dxa"/>
            <w:noWrap/>
          </w:tcPr>
          <w:p w:rsidR="00770534" w:rsidRPr="00650BC5" w:rsidRDefault="00770534" w:rsidP="00770534">
            <w:r>
              <w:t>Zajištění čerpadlového agregátu pro provedení inflow testu PPBV.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  <w:r w:rsidRPr="004A3747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</w:p>
        </w:tc>
      </w:tr>
      <w:tr w:rsidR="00770534" w:rsidRPr="00650BC5" w:rsidTr="00833E3A">
        <w:trPr>
          <w:trHeight w:val="600"/>
        </w:trPr>
        <w:tc>
          <w:tcPr>
            <w:tcW w:w="7054" w:type="dxa"/>
            <w:noWrap/>
          </w:tcPr>
          <w:p w:rsidR="00770534" w:rsidRPr="00650BC5" w:rsidRDefault="00770534" w:rsidP="00833E3A">
            <w:r>
              <w:t>Provedení negative pressure testu</w:t>
            </w:r>
            <w:r w:rsidR="0097567F">
              <w:t xml:space="preserve"> </w:t>
            </w:r>
            <w:r>
              <w:t xml:space="preserve">(inflow testu) PPBV. Snížení tlaku ve stupačkách na 7 </w:t>
            </w:r>
            <w:proofErr w:type="spellStart"/>
            <w:r>
              <w:t>MPa</w:t>
            </w:r>
            <w:proofErr w:type="spellEnd"/>
            <w:r>
              <w:t xml:space="preserve">, uzavření PPBV, snížení tlaku ve stupačkách na 1 </w:t>
            </w:r>
            <w:proofErr w:type="spellStart"/>
            <w:r>
              <w:t>MPa</w:t>
            </w:r>
            <w:proofErr w:type="spellEnd"/>
            <w:r>
              <w:t>, sledování tlaku po dobu 10 min. Výsledky vyhodnotí TDO.  Po skončení testu zvýšení tlaku ve stupačkách na 7 MPa, otevření PPBV. Odpuštění tlaku ve st</w:t>
            </w:r>
            <w:r w:rsidR="00833E3A">
              <w:t>.</w:t>
            </w:r>
            <w:r>
              <w:t xml:space="preserve"> na 0. Opětovné zavření PPBV.</w:t>
            </w:r>
          </w:p>
        </w:tc>
        <w:tc>
          <w:tcPr>
            <w:tcW w:w="1268" w:type="dxa"/>
            <w:noWrap/>
          </w:tcPr>
          <w:p w:rsidR="00770534" w:rsidRPr="00650BC5" w:rsidRDefault="000B3F6E" w:rsidP="00770534">
            <w:pPr>
              <w:rPr>
                <w:b/>
                <w:bCs/>
              </w:rPr>
            </w:pPr>
            <w:r w:rsidRPr="00833E3A">
              <w:rPr>
                <w:bCs/>
              </w:rPr>
              <w:t>součin</w:t>
            </w:r>
            <w:r>
              <w:rPr>
                <w:bCs/>
              </w:rPr>
              <w:t>n</w:t>
            </w:r>
            <w:r w:rsidRPr="00833E3A">
              <w:rPr>
                <w:bCs/>
              </w:rPr>
              <w:t>ost</w:t>
            </w:r>
          </w:p>
        </w:tc>
        <w:tc>
          <w:tcPr>
            <w:tcW w:w="1312" w:type="dxa"/>
            <w:noWrap/>
          </w:tcPr>
          <w:p w:rsidR="00770534" w:rsidRPr="00650BC5" w:rsidRDefault="000B3F6E" w:rsidP="00770534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</w:tr>
      <w:tr w:rsidR="00770534" w:rsidRPr="00650BC5" w:rsidTr="00833E3A">
        <w:trPr>
          <w:trHeight w:val="170"/>
        </w:trPr>
        <w:tc>
          <w:tcPr>
            <w:tcW w:w="7054" w:type="dxa"/>
            <w:noWrap/>
          </w:tcPr>
          <w:p w:rsidR="00770534" w:rsidRPr="00650BC5" w:rsidRDefault="00770534" w:rsidP="00770534">
            <w:r>
              <w:t xml:space="preserve">Demontáž </w:t>
            </w:r>
            <w:r w:rsidR="000B3F6E">
              <w:t xml:space="preserve">BOP </w:t>
            </w:r>
            <w:r>
              <w:t>zařízení na ústí vrtu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  <w:r w:rsidRPr="008A52B0"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</w:p>
        </w:tc>
      </w:tr>
      <w:tr w:rsidR="00C43808" w:rsidRPr="00650BC5" w:rsidDel="000F6FBD" w:rsidTr="00833E3A">
        <w:trPr>
          <w:trHeight w:val="600"/>
        </w:trPr>
        <w:tc>
          <w:tcPr>
            <w:tcW w:w="7054" w:type="dxa"/>
            <w:noWrap/>
          </w:tcPr>
          <w:p w:rsidR="00C43808" w:rsidRPr="000F6FBD" w:rsidRDefault="00C43808" w:rsidP="000B3F6E">
            <w:pPr>
              <w:rPr>
                <w:highlight w:val="yellow"/>
              </w:rPr>
            </w:pPr>
            <w:r>
              <w:t>M</w:t>
            </w:r>
            <w:r w:rsidRPr="004A3747">
              <w:t>ontáž horní části PK, včetně vyvedení a ukončení C</w:t>
            </w:r>
            <w:r>
              <w:t>-</w:t>
            </w:r>
            <w:r w:rsidRPr="004A3747">
              <w:t xml:space="preserve">L PPBV systémem </w:t>
            </w:r>
            <w:proofErr w:type="spellStart"/>
            <w:r w:rsidRPr="004A3747">
              <w:t>S</w:t>
            </w:r>
            <w:r w:rsidR="000B3F6E">
              <w:t>w</w:t>
            </w:r>
            <w:r w:rsidRPr="004A3747">
              <w:t>agelok</w:t>
            </w:r>
            <w:proofErr w:type="spellEnd"/>
            <w:r w:rsidRPr="004A3747">
              <w:t xml:space="preserve"> s jehlovým ventilem a </w:t>
            </w:r>
            <w:proofErr w:type="gramStart"/>
            <w:r w:rsidRPr="004A3747">
              <w:t>manometrem v SI</w:t>
            </w:r>
            <w:proofErr w:type="gramEnd"/>
            <w:r w:rsidRPr="004A3747">
              <w:t xml:space="preserve"> jednotkách. Tlaková zkouška PK </w:t>
            </w:r>
            <w:r w:rsidRPr="00833E3A">
              <w:t>21 MPa / 10+30 min</w:t>
            </w:r>
            <w:r w:rsidRPr="004A3747">
              <w:t>. Otevření PPBV.</w:t>
            </w:r>
          </w:p>
        </w:tc>
        <w:tc>
          <w:tcPr>
            <w:tcW w:w="1268" w:type="dxa"/>
            <w:noWrap/>
          </w:tcPr>
          <w:p w:rsidR="00C43808" w:rsidRPr="00833E3A" w:rsidRDefault="00833E3A" w:rsidP="00C43808">
            <w:r w:rsidRPr="00833E3A">
              <w:rPr>
                <w:bCs/>
              </w:rPr>
              <w:t>součinnost</w:t>
            </w:r>
          </w:p>
        </w:tc>
        <w:tc>
          <w:tcPr>
            <w:tcW w:w="1312" w:type="dxa"/>
            <w:noWrap/>
          </w:tcPr>
          <w:p w:rsidR="00C43808" w:rsidRPr="00650BC5" w:rsidRDefault="00833E3A" w:rsidP="00C43808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770534" w:rsidRPr="00650BC5" w:rsidTr="00833E3A">
        <w:trPr>
          <w:trHeight w:val="290"/>
        </w:trPr>
        <w:tc>
          <w:tcPr>
            <w:tcW w:w="7054" w:type="dxa"/>
            <w:noWrap/>
            <w:hideMark/>
          </w:tcPr>
          <w:p w:rsidR="00770534" w:rsidRPr="00650BC5" w:rsidRDefault="00770534" w:rsidP="00770534">
            <w:r>
              <w:t>Vytažení testovací zátky z PK.</w:t>
            </w:r>
            <w:r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770534" w:rsidRPr="00650BC5" w:rsidRDefault="00770534" w:rsidP="00770534"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  <w:hideMark/>
          </w:tcPr>
          <w:p w:rsidR="00770534" w:rsidRPr="00650BC5" w:rsidRDefault="00770534" w:rsidP="00770534">
            <w:pPr>
              <w:rPr>
                <w:b/>
                <w:bCs/>
              </w:rPr>
            </w:pPr>
          </w:p>
        </w:tc>
      </w:tr>
      <w:tr w:rsidR="00770534" w:rsidRPr="00650BC5" w:rsidTr="00833E3A">
        <w:trPr>
          <w:trHeight w:val="600"/>
        </w:trPr>
        <w:tc>
          <w:tcPr>
            <w:tcW w:w="7054" w:type="dxa"/>
            <w:noWrap/>
          </w:tcPr>
          <w:p w:rsidR="00770534" w:rsidRPr="00650BC5" w:rsidRDefault="00770534" w:rsidP="00770534">
            <w:r>
              <w:lastRenderedPageBreak/>
              <w:t>Vytažení jednosměrné zátky z usazovací vsuvky servisem W/L. Ověření průchodnosti servisem W/L.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r w:rsidRPr="00650BC5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</w:p>
        </w:tc>
      </w:tr>
      <w:tr w:rsidR="00770534" w:rsidRPr="00650BC5" w:rsidTr="00833E3A">
        <w:trPr>
          <w:trHeight w:val="373"/>
        </w:trPr>
        <w:tc>
          <w:tcPr>
            <w:tcW w:w="7054" w:type="dxa"/>
            <w:noWrap/>
          </w:tcPr>
          <w:p w:rsidR="00770534" w:rsidRDefault="00770534" w:rsidP="00833E3A">
            <w:r>
              <w:t xml:space="preserve">Oživení sondy snížením hladiny </w:t>
            </w:r>
            <w:r w:rsidR="00833E3A">
              <w:t>pomocí dusíku, následné uvedení do samotoku</w:t>
            </w:r>
            <w:r>
              <w:t>, až do těžby suchého plynu. V průběhu oživení evidovat tlaky na ústí sondy a těžená množství kapaliny</w:t>
            </w:r>
          </w:p>
        </w:tc>
        <w:tc>
          <w:tcPr>
            <w:tcW w:w="1268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>
            <w:pPr>
              <w:rPr>
                <w:b/>
                <w:bCs/>
              </w:rPr>
            </w:pPr>
          </w:p>
        </w:tc>
      </w:tr>
      <w:tr w:rsidR="00770534" w:rsidRPr="00650BC5" w:rsidTr="00833E3A">
        <w:trPr>
          <w:trHeight w:val="128"/>
        </w:trPr>
        <w:tc>
          <w:tcPr>
            <w:tcW w:w="7054" w:type="dxa"/>
            <w:noWrap/>
          </w:tcPr>
          <w:p w:rsidR="00770534" w:rsidRPr="00B15C33" w:rsidRDefault="00770534" w:rsidP="00770534">
            <w:r w:rsidRPr="00B15C33">
              <w:t>Ověření průchodnosti servisem W/L</w:t>
            </w:r>
          </w:p>
        </w:tc>
        <w:tc>
          <w:tcPr>
            <w:tcW w:w="1268" w:type="dxa"/>
            <w:noWrap/>
          </w:tcPr>
          <w:p w:rsidR="00770534" w:rsidRPr="001A7972" w:rsidRDefault="00833E3A" w:rsidP="00770534">
            <w:pPr>
              <w:rPr>
                <w:b/>
                <w:bCs/>
                <w:highlight w:val="yellow"/>
              </w:rPr>
            </w:pPr>
            <w:r w:rsidRPr="008A52B0">
              <w:t>∆</w:t>
            </w:r>
          </w:p>
        </w:tc>
        <w:tc>
          <w:tcPr>
            <w:tcW w:w="1312" w:type="dxa"/>
            <w:noWrap/>
          </w:tcPr>
          <w:p w:rsidR="00770534" w:rsidRPr="001A7972" w:rsidRDefault="00770534" w:rsidP="00770534">
            <w:pPr>
              <w:rPr>
                <w:b/>
                <w:bCs/>
                <w:highlight w:val="yellow"/>
              </w:rPr>
            </w:pPr>
          </w:p>
        </w:tc>
      </w:tr>
      <w:tr w:rsidR="00770534" w:rsidRPr="00650BC5" w:rsidTr="00833E3A">
        <w:trPr>
          <w:trHeight w:val="56"/>
        </w:trPr>
        <w:tc>
          <w:tcPr>
            <w:tcW w:w="7054" w:type="dxa"/>
            <w:noWrap/>
            <w:hideMark/>
          </w:tcPr>
          <w:p w:rsidR="00770534" w:rsidRPr="00650BC5" w:rsidRDefault="00770534" w:rsidP="00770534">
            <w:r>
              <w:t>Úklid pracoviště po odstěhování soupravy do původního stavu.</w:t>
            </w:r>
          </w:p>
        </w:tc>
        <w:tc>
          <w:tcPr>
            <w:tcW w:w="1268" w:type="dxa"/>
            <w:noWrap/>
            <w:hideMark/>
          </w:tcPr>
          <w:p w:rsidR="00770534" w:rsidRPr="00650BC5" w:rsidRDefault="00770534" w:rsidP="00770534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  <w:hideMark/>
          </w:tcPr>
          <w:p w:rsidR="00770534" w:rsidRPr="00650BC5" w:rsidRDefault="00770534" w:rsidP="00770534"/>
        </w:tc>
      </w:tr>
      <w:tr w:rsidR="00770534" w:rsidRPr="00650BC5" w:rsidTr="00833E3A">
        <w:trPr>
          <w:trHeight w:val="300"/>
        </w:trPr>
        <w:tc>
          <w:tcPr>
            <w:tcW w:w="7054" w:type="dxa"/>
            <w:noWrap/>
            <w:hideMark/>
          </w:tcPr>
          <w:p w:rsidR="00770534" w:rsidRPr="00650BC5" w:rsidRDefault="00770534" w:rsidP="00B15C33">
            <w:r>
              <w:t xml:space="preserve">Předání a převzetí </w:t>
            </w:r>
            <w:r w:rsidR="00B15C33" w:rsidRPr="00833E3A">
              <w:t>pracoviště</w:t>
            </w:r>
            <w:r w:rsidR="00B15C33">
              <w:t xml:space="preserve"> </w:t>
            </w:r>
            <w:r>
              <w:t xml:space="preserve">po </w:t>
            </w:r>
            <w:r w:rsidR="00B15C33">
              <w:t>u</w:t>
            </w:r>
            <w:r>
              <w:t>končení POS.</w:t>
            </w:r>
          </w:p>
        </w:tc>
        <w:tc>
          <w:tcPr>
            <w:tcW w:w="1268" w:type="dxa"/>
            <w:noWrap/>
            <w:hideMark/>
          </w:tcPr>
          <w:p w:rsidR="00770534" w:rsidRPr="00650BC5" w:rsidRDefault="00770534" w:rsidP="00770534">
            <w:pPr>
              <w:rPr>
                <w:b/>
                <w:bCs/>
              </w:rPr>
            </w:pPr>
            <w:r w:rsidRPr="00C207E1">
              <w:rPr>
                <w:b/>
                <w:bCs/>
              </w:rPr>
              <w:t>∆</w:t>
            </w:r>
          </w:p>
        </w:tc>
        <w:tc>
          <w:tcPr>
            <w:tcW w:w="1312" w:type="dxa"/>
            <w:noWrap/>
          </w:tcPr>
          <w:p w:rsidR="00770534" w:rsidRPr="00650BC5" w:rsidRDefault="00770534" w:rsidP="00770534">
            <w:r w:rsidRPr="00C207E1">
              <w:rPr>
                <w:b/>
                <w:bCs/>
              </w:rPr>
              <w:t>∆</w:t>
            </w:r>
          </w:p>
        </w:tc>
      </w:tr>
    </w:tbl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D45A84" w:rsidRPr="003B5703" w:rsidTr="007754C7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D45A84" w:rsidRPr="0029443F" w:rsidRDefault="00D45A84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D45A84" w:rsidRPr="003B5703" w:rsidTr="007754C7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D45A84" w:rsidRPr="0029443F" w:rsidRDefault="00D45A84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0B3F6E">
        <w:trPr>
          <w:trHeight w:val="581"/>
        </w:trPr>
        <w:tc>
          <w:tcPr>
            <w:tcW w:w="7054" w:type="dxa"/>
            <w:hideMark/>
          </w:tcPr>
          <w:p w:rsidR="003B5703" w:rsidRPr="003B5703" w:rsidRDefault="000B3F6E" w:rsidP="000B3F6E">
            <w:r>
              <w:t xml:space="preserve">Bude instalováno původní vystrojení sondy, proto je velice důležité původní vystrojení důkladné po vytažení očistit a šetrné uskladnit na sondě. 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0B3F6E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</w:tr>
      <w:tr w:rsidR="003B5703" w:rsidRPr="003B5703" w:rsidTr="007754C7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0B3F6E">
            <w:r>
              <w:t>Č</w:t>
            </w:r>
            <w:r w:rsidR="003B5703" w:rsidRPr="003B5703">
              <w:t>erpac</w:t>
            </w:r>
            <w:r w:rsidR="00D45A84">
              <w:t>í trubky 3 ½“ VAGT</w:t>
            </w:r>
            <w:r w:rsidR="00222359">
              <w:t>, s.</w:t>
            </w:r>
            <w:r w:rsidR="00CF3FD7">
              <w:t xml:space="preserve"> </w:t>
            </w:r>
            <w:r w:rsidR="00222359">
              <w:t>s.</w:t>
            </w:r>
            <w:r w:rsidR="00CF3FD7">
              <w:t xml:space="preserve"> </w:t>
            </w:r>
            <w:r w:rsidR="00222359">
              <w:t>6,45mm</w:t>
            </w:r>
            <w:r w:rsidR="000B3F6E">
              <w:t xml:space="preserve"> popř. 4 ½“ VAGT, s. s. 6,88 mm – dle potřeby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7754C7">
        <w:trPr>
          <w:trHeight w:val="300"/>
        </w:trPr>
        <w:tc>
          <w:tcPr>
            <w:tcW w:w="7054" w:type="dxa"/>
          </w:tcPr>
          <w:p w:rsidR="00CA01D7" w:rsidRPr="003B5703" w:rsidRDefault="00CA01D7">
            <w:r>
              <w:t>Manipulační kusy 3 ½“, VAGT, J-55, s.</w:t>
            </w:r>
            <w:r w:rsidR="00CF3FD7">
              <w:t xml:space="preserve"> </w:t>
            </w:r>
            <w:r>
              <w:t>s 6,45 mm</w:t>
            </w:r>
            <w:r w:rsidR="000B3F6E">
              <w:t>, 4 ½“ VAGT, s. s. 6,88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</w:tbl>
    <w:p w:rsidR="00214CC4" w:rsidRDefault="00214CC4" w:rsidP="005D5F2E"/>
    <w:p w:rsidR="00546694" w:rsidRPr="00772955" w:rsidRDefault="00546694" w:rsidP="00954BC9">
      <w:pPr>
        <w:jc w:val="both"/>
      </w:pPr>
    </w:p>
    <w:p w:rsidR="00D224DE" w:rsidRPr="00470101" w:rsidRDefault="00D224DE" w:rsidP="005D5F2E">
      <w:pPr>
        <w:pStyle w:val="Nadpis2"/>
      </w:pPr>
      <w:r w:rsidRPr="00470101">
        <w:t>Požadované další servisní práce:</w:t>
      </w:r>
    </w:p>
    <w:p w:rsidR="00C03172" w:rsidRPr="00470101" w:rsidRDefault="00C03172" w:rsidP="005D5F2E"/>
    <w:p w:rsidR="009D6CB8" w:rsidRPr="00833E3A" w:rsidRDefault="009D6CB8" w:rsidP="009D6CB8">
      <w:pPr>
        <w:jc w:val="both"/>
      </w:pPr>
      <w:r w:rsidRPr="00470101">
        <w:t xml:space="preserve">- servis pro instalaci PPBV </w:t>
      </w:r>
      <w:r w:rsidR="00470101" w:rsidRPr="00470101">
        <w:tab/>
      </w:r>
      <w:r w:rsidRPr="00470101">
        <w:t>– zajistí objednatel</w:t>
      </w:r>
      <w:r w:rsidR="00470101">
        <w:t xml:space="preserve"> – </w:t>
      </w:r>
      <w:r w:rsidR="00470101" w:rsidRPr="00833E3A">
        <w:t>součinnost zhotovitele</w:t>
      </w:r>
    </w:p>
    <w:p w:rsidR="009D6CB8" w:rsidRPr="00833E3A" w:rsidRDefault="009D6CB8" w:rsidP="009D6CB8">
      <w:pPr>
        <w:jc w:val="both"/>
      </w:pPr>
      <w:r w:rsidRPr="00833E3A">
        <w:t xml:space="preserve">- servis pro instalaci PK </w:t>
      </w:r>
      <w:r w:rsidR="00470101" w:rsidRPr="00833E3A">
        <w:tab/>
      </w:r>
      <w:r w:rsidRPr="00833E3A">
        <w:t>– zajistí objednatel</w:t>
      </w:r>
      <w:r w:rsidR="00470101" w:rsidRPr="00833E3A">
        <w:t xml:space="preserve"> – součinnost zhotovitele</w:t>
      </w:r>
    </w:p>
    <w:p w:rsidR="009D6CB8" w:rsidRPr="00470101" w:rsidRDefault="009D6CB8" w:rsidP="009D6CB8">
      <w:pPr>
        <w:jc w:val="both"/>
      </w:pPr>
      <w:r w:rsidRPr="00470101">
        <w:t>- servis pro WL</w:t>
      </w:r>
      <w:r w:rsidR="00470101">
        <w:tab/>
      </w:r>
      <w:r w:rsidR="00470101">
        <w:tab/>
      </w:r>
      <w:r w:rsidRPr="00470101">
        <w:t xml:space="preserve">– zajistí </w:t>
      </w:r>
      <w:r w:rsidR="00470101" w:rsidRPr="00470101">
        <w:t>zhotovitel</w:t>
      </w:r>
    </w:p>
    <w:p w:rsidR="009D6CB8" w:rsidRDefault="009D6CB8" w:rsidP="009D6CB8">
      <w:pPr>
        <w:jc w:val="both"/>
      </w:pPr>
    </w:p>
    <w:p w:rsidR="00EE438C" w:rsidRDefault="00EE438C" w:rsidP="009D6CB8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218A1" w:rsidRPr="008218A1" w:rsidRDefault="008218A1" w:rsidP="008218A1"/>
    <w:p w:rsidR="009D6CB8" w:rsidRDefault="009D6CB8" w:rsidP="00954BC9">
      <w:pPr>
        <w:jc w:val="both"/>
      </w:pPr>
      <w:r>
        <w:t xml:space="preserve">- </w:t>
      </w:r>
      <w:r w:rsidRPr="00833E3A">
        <w:t>odvoz p</w:t>
      </w:r>
      <w:r w:rsidR="00EE438C" w:rsidRPr="00833E3A">
        <w:t xml:space="preserve">řípadných vyřazených stupaček a dovoz nových </w:t>
      </w:r>
      <w:r w:rsidRPr="00833E3A">
        <w:t>do</w:t>
      </w:r>
      <w:r w:rsidR="00EE438C" w:rsidRPr="00833E3A">
        <w:t xml:space="preserve"> / ze</w:t>
      </w:r>
      <w:r w:rsidRPr="00833E3A">
        <w:t xml:space="preserve"> </w:t>
      </w:r>
      <w:r>
        <w:t>skladu Hrušky</w:t>
      </w:r>
      <w:r w:rsidR="00EE438C">
        <w:t>.</w:t>
      </w:r>
    </w:p>
    <w:p w:rsidR="00C207E1" w:rsidRDefault="00C207E1" w:rsidP="005D5F2E"/>
    <w:p w:rsidR="00C207E1" w:rsidRPr="00C207E1" w:rsidRDefault="00DF37C0" w:rsidP="00E442FF">
      <w:pPr>
        <w:pStyle w:val="Nadpis2"/>
      </w:pPr>
      <w:r w:rsidRPr="008A0A4A">
        <w:t>Upřesňující údaje o pra</w:t>
      </w:r>
      <w:r w:rsidR="00CF3FD7">
        <w:t>covní ploše k </w:t>
      </w:r>
      <w:proofErr w:type="gramStart"/>
      <w:r w:rsidR="00CF3FD7">
        <w:t>POS</w:t>
      </w:r>
      <w:proofErr w:type="gramEnd"/>
      <w:r w:rsidR="00CF3FD7">
        <w:t xml:space="preserve"> na dané sondě</w:t>
      </w:r>
      <w:r w:rsidRPr="008A0A4A">
        <w:t>:</w:t>
      </w:r>
    </w:p>
    <w:p w:rsidR="00980710" w:rsidRDefault="00980710" w:rsidP="00954BC9">
      <w:pPr>
        <w:jc w:val="both"/>
      </w:pPr>
    </w:p>
    <w:p w:rsidR="00DF37C0" w:rsidRDefault="00DF37C0" w:rsidP="00954BC9">
      <w:pPr>
        <w:jc w:val="both"/>
      </w:pPr>
      <w:r>
        <w:t xml:space="preserve">Plocha sondy je cca </w:t>
      </w:r>
      <w:r w:rsidR="00FF0BD2">
        <w:t>45</w:t>
      </w:r>
      <w:r>
        <w:t xml:space="preserve"> x </w:t>
      </w:r>
      <w:r w:rsidR="00FF0BD2">
        <w:t>25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954BC9">
      <w:pPr>
        <w:jc w:val="both"/>
      </w:pPr>
      <w:r>
        <w:t>Panelová plocha bude po ukončení opravy dokonale očištěna – v případě potřeby i speciální čistící technikou.</w:t>
      </w:r>
    </w:p>
    <w:sectPr w:rsidR="00DF37C0" w:rsidSect="00E46C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E49" w:rsidRDefault="00D66E49" w:rsidP="005D5F2E">
      <w:r>
        <w:separator/>
      </w:r>
    </w:p>
    <w:p w:rsidR="00D66E49" w:rsidRDefault="00D66E49" w:rsidP="005D5F2E"/>
  </w:endnote>
  <w:endnote w:type="continuationSeparator" w:id="0">
    <w:p w:rsidR="00D66E49" w:rsidRDefault="00D66E49" w:rsidP="005D5F2E">
      <w:r>
        <w:continuationSeparator/>
      </w:r>
    </w:p>
    <w:p w:rsidR="00D66E49" w:rsidRDefault="00D66E49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1B3F26">
      <w:rPr>
        <w:rStyle w:val="slostrnky"/>
        <w:noProof/>
        <w:sz w:val="16"/>
      </w:rPr>
      <w:t>3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E49" w:rsidRDefault="00D66E49" w:rsidP="005D5F2E">
      <w:r>
        <w:separator/>
      </w:r>
    </w:p>
    <w:p w:rsidR="00D66E49" w:rsidRDefault="00D66E49" w:rsidP="005D5F2E"/>
  </w:footnote>
  <w:footnote w:type="continuationSeparator" w:id="0">
    <w:p w:rsidR="00D66E49" w:rsidRDefault="00D66E49" w:rsidP="005D5F2E">
      <w:r>
        <w:continuationSeparator/>
      </w:r>
    </w:p>
    <w:p w:rsidR="00D66E49" w:rsidRDefault="00D66E49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 w15:restartNumberingAfterBreak="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 w15:restartNumberingAfterBreak="0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 w15:restartNumberingAfterBreak="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3ECD"/>
    <w:rsid w:val="00085BDA"/>
    <w:rsid w:val="00087F27"/>
    <w:rsid w:val="00096433"/>
    <w:rsid w:val="000B0225"/>
    <w:rsid w:val="000B1C0D"/>
    <w:rsid w:val="000B3896"/>
    <w:rsid w:val="000B3F6E"/>
    <w:rsid w:val="000B4267"/>
    <w:rsid w:val="000C2656"/>
    <w:rsid w:val="000D1D82"/>
    <w:rsid w:val="000D262D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5BA1"/>
    <w:rsid w:val="00136792"/>
    <w:rsid w:val="00146BDF"/>
    <w:rsid w:val="001525D1"/>
    <w:rsid w:val="00160212"/>
    <w:rsid w:val="00160B9B"/>
    <w:rsid w:val="00162604"/>
    <w:rsid w:val="00162C49"/>
    <w:rsid w:val="00171671"/>
    <w:rsid w:val="001747A4"/>
    <w:rsid w:val="00193C92"/>
    <w:rsid w:val="001A30FD"/>
    <w:rsid w:val="001A37EB"/>
    <w:rsid w:val="001A449D"/>
    <w:rsid w:val="001A7972"/>
    <w:rsid w:val="001A7D75"/>
    <w:rsid w:val="001B3090"/>
    <w:rsid w:val="001B3F26"/>
    <w:rsid w:val="001C012C"/>
    <w:rsid w:val="001C1645"/>
    <w:rsid w:val="001C35DB"/>
    <w:rsid w:val="001D56E5"/>
    <w:rsid w:val="001E0657"/>
    <w:rsid w:val="001E41D5"/>
    <w:rsid w:val="001E6D6A"/>
    <w:rsid w:val="001F0118"/>
    <w:rsid w:val="001F04C3"/>
    <w:rsid w:val="001F12CB"/>
    <w:rsid w:val="001F5AC6"/>
    <w:rsid w:val="001F79C5"/>
    <w:rsid w:val="00200C65"/>
    <w:rsid w:val="0020120F"/>
    <w:rsid w:val="002015F6"/>
    <w:rsid w:val="002124ED"/>
    <w:rsid w:val="00214CC4"/>
    <w:rsid w:val="00215E56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356FA"/>
    <w:rsid w:val="00246E7D"/>
    <w:rsid w:val="00250196"/>
    <w:rsid w:val="00251FEF"/>
    <w:rsid w:val="00256F61"/>
    <w:rsid w:val="00263385"/>
    <w:rsid w:val="002704CA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1159B"/>
    <w:rsid w:val="00313A3F"/>
    <w:rsid w:val="00315B91"/>
    <w:rsid w:val="0032539C"/>
    <w:rsid w:val="00325595"/>
    <w:rsid w:val="00325779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0101"/>
    <w:rsid w:val="00472506"/>
    <w:rsid w:val="00474785"/>
    <w:rsid w:val="0048005E"/>
    <w:rsid w:val="004A3747"/>
    <w:rsid w:val="004A52AB"/>
    <w:rsid w:val="004B15BE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021A"/>
    <w:rsid w:val="0050026B"/>
    <w:rsid w:val="00505882"/>
    <w:rsid w:val="00505D51"/>
    <w:rsid w:val="00513872"/>
    <w:rsid w:val="00514068"/>
    <w:rsid w:val="00522E50"/>
    <w:rsid w:val="0053172B"/>
    <w:rsid w:val="00543A8E"/>
    <w:rsid w:val="00546694"/>
    <w:rsid w:val="00550C6E"/>
    <w:rsid w:val="005512B4"/>
    <w:rsid w:val="00552285"/>
    <w:rsid w:val="00556F42"/>
    <w:rsid w:val="0056000A"/>
    <w:rsid w:val="00563330"/>
    <w:rsid w:val="005665E3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22F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A767A"/>
    <w:rsid w:val="006A7BC7"/>
    <w:rsid w:val="006B24B0"/>
    <w:rsid w:val="006B5067"/>
    <w:rsid w:val="006B723E"/>
    <w:rsid w:val="006B7957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076A6"/>
    <w:rsid w:val="00710871"/>
    <w:rsid w:val="00711745"/>
    <w:rsid w:val="00711F08"/>
    <w:rsid w:val="007162F7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534"/>
    <w:rsid w:val="007709D1"/>
    <w:rsid w:val="007715D6"/>
    <w:rsid w:val="00772473"/>
    <w:rsid w:val="007754C7"/>
    <w:rsid w:val="007832BD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3E3A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741AA"/>
    <w:rsid w:val="00886570"/>
    <w:rsid w:val="00890698"/>
    <w:rsid w:val="00890A3C"/>
    <w:rsid w:val="00897034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CB6"/>
    <w:rsid w:val="008E21BA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4BC9"/>
    <w:rsid w:val="009574B4"/>
    <w:rsid w:val="00962CA9"/>
    <w:rsid w:val="009635B9"/>
    <w:rsid w:val="0097044F"/>
    <w:rsid w:val="0097567F"/>
    <w:rsid w:val="00976E7B"/>
    <w:rsid w:val="00980710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4E7A"/>
    <w:rsid w:val="009D6CB8"/>
    <w:rsid w:val="009E672E"/>
    <w:rsid w:val="009E7071"/>
    <w:rsid w:val="009E7826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567C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8421B"/>
    <w:rsid w:val="00A917CB"/>
    <w:rsid w:val="00AA01ED"/>
    <w:rsid w:val="00AA2ACB"/>
    <w:rsid w:val="00AA469B"/>
    <w:rsid w:val="00AB14DB"/>
    <w:rsid w:val="00AB274C"/>
    <w:rsid w:val="00AB2834"/>
    <w:rsid w:val="00AB74AC"/>
    <w:rsid w:val="00AD190F"/>
    <w:rsid w:val="00AD72C2"/>
    <w:rsid w:val="00AE354D"/>
    <w:rsid w:val="00AF2A44"/>
    <w:rsid w:val="00AF62B9"/>
    <w:rsid w:val="00AF7B13"/>
    <w:rsid w:val="00B04F60"/>
    <w:rsid w:val="00B126BA"/>
    <w:rsid w:val="00B15C33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0FFD"/>
    <w:rsid w:val="00BC60DD"/>
    <w:rsid w:val="00BD5820"/>
    <w:rsid w:val="00BE03CE"/>
    <w:rsid w:val="00BE351C"/>
    <w:rsid w:val="00BE3A0C"/>
    <w:rsid w:val="00BE542C"/>
    <w:rsid w:val="00BE6DB5"/>
    <w:rsid w:val="00BE70CA"/>
    <w:rsid w:val="00BE71E3"/>
    <w:rsid w:val="00BF1F8B"/>
    <w:rsid w:val="00BF3DD4"/>
    <w:rsid w:val="00BF5645"/>
    <w:rsid w:val="00C0053A"/>
    <w:rsid w:val="00C03172"/>
    <w:rsid w:val="00C03A20"/>
    <w:rsid w:val="00C04678"/>
    <w:rsid w:val="00C0496D"/>
    <w:rsid w:val="00C064C7"/>
    <w:rsid w:val="00C13C10"/>
    <w:rsid w:val="00C207E1"/>
    <w:rsid w:val="00C208D1"/>
    <w:rsid w:val="00C20BB3"/>
    <w:rsid w:val="00C226DC"/>
    <w:rsid w:val="00C23CC2"/>
    <w:rsid w:val="00C341FF"/>
    <w:rsid w:val="00C342E9"/>
    <w:rsid w:val="00C406E2"/>
    <w:rsid w:val="00C42EAF"/>
    <w:rsid w:val="00C43808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77A0"/>
    <w:rsid w:val="00CF22C0"/>
    <w:rsid w:val="00CF2574"/>
    <w:rsid w:val="00CF3FD7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5A84"/>
    <w:rsid w:val="00D46BFC"/>
    <w:rsid w:val="00D478AE"/>
    <w:rsid w:val="00D50AC3"/>
    <w:rsid w:val="00D51DC4"/>
    <w:rsid w:val="00D52E63"/>
    <w:rsid w:val="00D627B1"/>
    <w:rsid w:val="00D66E49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07139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B19"/>
    <w:rsid w:val="00E46CBA"/>
    <w:rsid w:val="00E508EF"/>
    <w:rsid w:val="00E61460"/>
    <w:rsid w:val="00E63B43"/>
    <w:rsid w:val="00E65AD0"/>
    <w:rsid w:val="00E7075D"/>
    <w:rsid w:val="00E72841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7A9D"/>
    <w:rsid w:val="00EE36A2"/>
    <w:rsid w:val="00EE438C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92B996-CDA0-4D89-962D-368FB8BD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53F9D-A5C0-4333-9FBB-627A4257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745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Peter</cp:lastModifiedBy>
  <cp:revision>4</cp:revision>
  <cp:lastPrinted>2011-09-30T08:41:00Z</cp:lastPrinted>
  <dcterms:created xsi:type="dcterms:W3CDTF">2015-11-20T07:33:00Z</dcterms:created>
  <dcterms:modified xsi:type="dcterms:W3CDTF">2016-01-31T08:25:00Z</dcterms:modified>
</cp:coreProperties>
</file>